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t xml:space="preserve">AN AGREEMENT TO RESOLVE DISPUTES BETWEEN PARTIES TO A CONTRACT OF </w:t>
      </w:r>
      <w:r>
        <w:rPr>
          <w:b/>
          <w:bCs/>
          <w:shd w:fill="FFFF00" w:val="clear"/>
        </w:rPr>
        <w:t>[]</w:t>
      </w:r>
    </w:p>
    <w:p>
      <w:pPr>
        <w:pStyle w:val="Normal"/>
        <w:bidi w:val="0"/>
        <w:jc w:val="center"/>
        <w:rPr>
          <w:b w:val="false"/>
          <w:bCs w:val="false"/>
        </w:rPr>
      </w:pPr>
      <w:r>
        <w:rPr>
          <w:b w:val="false"/>
          <w:bCs w:val="false"/>
        </w:rPr>
      </w:r>
    </w:p>
    <w:p>
      <w:pPr>
        <w:pStyle w:val="Normal"/>
        <w:bidi w:val="0"/>
        <w:jc w:val="start"/>
        <w:rPr>
          <w:b w:val="false"/>
          <w:bCs w:val="false"/>
        </w:rPr>
      </w:pPr>
      <w:r>
        <w:rPr>
          <w:b w:val="false"/>
          <w:bCs w:val="false"/>
        </w:rPr>
        <w:t>BETWEEN</w:t>
      </w:r>
    </w:p>
    <w:p>
      <w:pPr>
        <w:pStyle w:val="Normal"/>
        <w:bidi w:val="0"/>
        <w:jc w:val="start"/>
        <w:rPr>
          <w:b w:val="false"/>
          <w:bCs w:val="false"/>
        </w:rPr>
      </w:pPr>
      <w:r>
        <w:rPr>
          <w:b w:val="false"/>
          <w:bCs w:val="false"/>
        </w:rPr>
      </w:r>
    </w:p>
    <w:p>
      <w:pPr>
        <w:pStyle w:val="Normal"/>
        <w:bidi w:val="0"/>
        <w:jc w:val="center"/>
        <w:rPr>
          <w:b w:val="false"/>
          <w:bCs w:val="false"/>
        </w:rPr>
      </w:pPr>
      <w:r>
        <w:rPr>
          <w:b w:val="false"/>
          <w:bCs w:val="false"/>
        </w:rPr>
        <w:t>[Party]</w:t>
      </w:r>
    </w:p>
    <w:p>
      <w:pPr>
        <w:pStyle w:val="Normal"/>
        <w:bidi w:val="0"/>
        <w:jc w:val="center"/>
        <w:rPr>
          <w:b w:val="false"/>
          <w:bCs w:val="false"/>
          <w:i/>
          <w:iCs/>
        </w:rPr>
      </w:pPr>
      <w:r>
        <w:rPr>
          <w:b w:val="false"/>
          <w:bCs w:val="false"/>
          <w:i/>
          <w:iCs/>
        </w:rPr>
        <w:t>Status of party</w:t>
      </w:r>
    </w:p>
    <w:p>
      <w:pPr>
        <w:pStyle w:val="Normal"/>
        <w:bidi w:val="0"/>
        <w:jc w:val="end"/>
        <w:rPr>
          <w:b w:val="false"/>
          <w:bCs w:val="false"/>
          <w:i w:val="false"/>
          <w:iCs w:val="false"/>
        </w:rPr>
      </w:pPr>
      <w:r>
        <w:rPr>
          <w:b w:val="false"/>
          <w:bCs w:val="false"/>
          <w:i w:val="false"/>
          <w:iCs w:val="false"/>
        </w:rPr>
        <w:t>Party’s title</w:t>
      </w:r>
    </w:p>
    <w:p>
      <w:pPr>
        <w:pStyle w:val="Normal"/>
        <w:bidi w:val="0"/>
        <w:jc w:val="center"/>
        <w:rPr>
          <w:b w:val="false"/>
          <w:bCs w:val="false"/>
          <w:i w:val="false"/>
          <w:iCs w:val="false"/>
        </w:rPr>
      </w:pPr>
      <w:r>
        <w:rPr>
          <w:b w:val="false"/>
          <w:bCs w:val="false"/>
          <w:i w:val="false"/>
          <w:iCs w:val="false"/>
        </w:rPr>
      </w:r>
    </w:p>
    <w:p>
      <w:pPr>
        <w:pStyle w:val="Normal"/>
        <w:bidi w:val="0"/>
        <w:jc w:val="center"/>
        <w:rPr>
          <w:b w:val="false"/>
          <w:bCs w:val="false"/>
          <w:i w:val="false"/>
          <w:iCs w:val="false"/>
        </w:rPr>
      </w:pPr>
      <w:r>
        <w:rPr>
          <w:b w:val="false"/>
          <w:bCs w:val="false"/>
          <w:i w:val="false"/>
          <w:iCs w:val="false"/>
        </w:rPr>
        <w:t>- and -</w:t>
      </w:r>
    </w:p>
    <w:p>
      <w:pPr>
        <w:pStyle w:val="Normal"/>
        <w:bidi w:val="0"/>
        <w:jc w:val="center"/>
        <w:rPr>
          <w:b w:val="false"/>
          <w:bCs w:val="false"/>
          <w:i w:val="false"/>
          <w:iCs w:val="false"/>
        </w:rPr>
      </w:pPr>
      <w:r>
        <w:rPr>
          <w:b w:val="false"/>
          <w:bCs w:val="false"/>
          <w:i w:val="false"/>
          <w:iCs w:val="false"/>
        </w:rPr>
      </w:r>
    </w:p>
    <w:p>
      <w:pPr>
        <w:pStyle w:val="Normal"/>
        <w:bidi w:val="0"/>
        <w:jc w:val="center"/>
        <w:rPr>
          <w:b w:val="false"/>
          <w:bCs w:val="false"/>
          <w:i w:val="false"/>
          <w:iCs w:val="false"/>
        </w:rPr>
      </w:pPr>
      <w:r>
        <w:rPr>
          <w:b w:val="false"/>
          <w:bCs w:val="false"/>
          <w:i w:val="false"/>
          <w:iCs w:val="false"/>
        </w:rPr>
        <w:t>[Party]</w:t>
      </w:r>
    </w:p>
    <w:p>
      <w:pPr>
        <w:pStyle w:val="Normal"/>
        <w:bidi w:val="0"/>
        <w:jc w:val="center"/>
        <w:rPr>
          <w:b w:val="false"/>
          <w:bCs w:val="false"/>
          <w:i/>
          <w:iCs/>
        </w:rPr>
      </w:pPr>
      <w:r>
        <w:rPr>
          <w:b w:val="false"/>
          <w:bCs w:val="false"/>
          <w:i/>
          <w:iCs/>
        </w:rPr>
        <w:t>Status of party</w:t>
      </w:r>
    </w:p>
    <w:p>
      <w:pPr>
        <w:pStyle w:val="Normal"/>
        <w:bidi w:val="0"/>
        <w:jc w:val="end"/>
        <w:rPr>
          <w:b w:val="false"/>
          <w:bCs w:val="false"/>
          <w:i w:val="false"/>
          <w:iCs w:val="false"/>
        </w:rPr>
      </w:pPr>
      <w:r>
        <w:rPr>
          <w:b w:val="false"/>
          <w:bCs w:val="false"/>
          <w:i w:val="false"/>
          <w:iCs w:val="false"/>
        </w:rPr>
        <w:t>Party’s title</w:t>
      </w:r>
    </w:p>
    <w:p>
      <w:pPr>
        <w:pStyle w:val="Normal"/>
        <w:bidi w:val="0"/>
        <w:jc w:val="end"/>
        <w:rPr>
          <w:b w:val="false"/>
          <w:bCs w:val="false"/>
          <w:i w:val="false"/>
          <w:iCs w:val="false"/>
        </w:rPr>
      </w:pPr>
      <w:r>
        <w:rPr>
          <w:b w:val="false"/>
          <w:bCs w:val="false"/>
          <w:i w:val="false"/>
          <w:iCs w:val="false"/>
        </w:rPr>
      </w:r>
    </w:p>
    <w:p>
      <w:pPr>
        <w:pStyle w:val="Normal"/>
        <w:bidi w:val="0"/>
        <w:ind w:hanging="283" w:start="283" w:end="0"/>
        <w:jc w:val="start"/>
        <w:rPr>
          <w:b w:val="false"/>
          <w:bCs w:val="false"/>
          <w:i w:val="false"/>
          <w:iCs w:val="false"/>
        </w:rPr>
      </w:pPr>
      <w:r>
        <w:rPr>
          <w:b w:val="false"/>
          <w:bCs w:val="false"/>
          <w:i w:val="false"/>
          <w:iCs w:val="false"/>
        </w:rPr>
        <w:t xml:space="preserve">WHEREAS, </w:t>
      </w:r>
    </w:p>
    <w:p>
      <w:pPr>
        <w:pStyle w:val="Normal"/>
        <w:bidi w:val="0"/>
        <w:ind w:hanging="283" w:start="283" w:end="0"/>
        <w:jc w:val="start"/>
        <w:rPr>
          <w:b w:val="false"/>
          <w:bCs w:val="false"/>
          <w:i w:val="false"/>
          <w:iCs w:val="false"/>
        </w:rPr>
      </w:pPr>
      <w:r>
        <w:rPr>
          <w:b w:val="false"/>
          <w:bCs w:val="false"/>
          <w:i w:val="false"/>
          <w:iCs w:val="false"/>
        </w:rPr>
      </w:r>
    </w:p>
    <w:p>
      <w:pPr>
        <w:pStyle w:val="Normal"/>
        <w:bidi w:val="0"/>
        <w:ind w:hanging="283" w:start="283" w:end="0"/>
        <w:jc w:val="start"/>
        <w:rPr>
          <w:b w:val="false"/>
          <w:bCs w:val="false"/>
          <w:i w:val="false"/>
          <w:iCs w:val="false"/>
        </w:rPr>
      </w:pPr>
      <w:r>
        <w:rPr>
          <w:b w:val="false"/>
          <w:bCs w:val="false"/>
          <w:i w:val="false"/>
          <w:iCs w:val="false"/>
        </w:rPr>
        <w:t>AND WHEREAS,</w:t>
      </w:r>
    </w:p>
    <w:p>
      <w:pPr>
        <w:pStyle w:val="Normal"/>
        <w:bidi w:val="0"/>
        <w:ind w:hanging="283" w:start="283" w:end="0"/>
        <w:jc w:val="start"/>
        <w:rPr>
          <w:b w:val="false"/>
          <w:bCs w:val="false"/>
          <w:i w:val="false"/>
          <w:iCs w:val="false"/>
        </w:rPr>
      </w:pPr>
      <w:r>
        <w:rPr>
          <w:b w:val="false"/>
          <w:bCs w:val="false"/>
          <w:i w:val="false"/>
          <w:iCs w:val="false"/>
        </w:rPr>
      </w:r>
    </w:p>
    <w:p>
      <w:pPr>
        <w:pStyle w:val="Normal"/>
        <w:bidi w:val="0"/>
        <w:ind w:hanging="283" w:start="283" w:end="0"/>
        <w:jc w:val="start"/>
        <w:rPr>
          <w:b w:val="false"/>
          <w:bCs w:val="false"/>
          <w:i w:val="false"/>
          <w:iCs w:val="false"/>
        </w:rPr>
      </w:pPr>
      <w:r>
        <w:rPr>
          <w:b w:val="false"/>
          <w:bCs w:val="false"/>
          <w:i w:val="false"/>
          <w:iCs w:val="false"/>
        </w:rPr>
        <w:t>NOW THEREFORE, THE PARTIES AGREE AS FOLLOWS –</w:t>
      </w:r>
    </w:p>
    <w:p>
      <w:pPr>
        <w:pStyle w:val="Normal"/>
        <w:bidi w:val="0"/>
        <w:ind w:hanging="283" w:start="283" w:end="0"/>
        <w:jc w:val="start"/>
        <w:rPr>
          <w:b w:val="false"/>
          <w:bCs w:val="false"/>
          <w:i w:val="false"/>
          <w:iCs w:val="false"/>
        </w:rPr>
      </w:pPr>
      <w:r>
        <w:rPr>
          <w:b w:val="false"/>
          <w:bCs w:val="false"/>
          <w:i w:val="false"/>
          <w:iCs w:val="false"/>
        </w:rPr>
      </w:r>
    </w:p>
    <w:p>
      <w:pPr>
        <w:pStyle w:val="Normal"/>
        <w:bidi w:val="0"/>
        <w:ind w:hanging="283" w:start="283" w:end="0"/>
        <w:jc w:val="start"/>
        <w:rPr>
          <w:b w:val="false"/>
          <w:bCs w:val="false"/>
          <w:i w:val="false"/>
          <w:iCs w:val="false"/>
        </w:rPr>
      </w:pPr>
      <w:r>
        <w:rPr>
          <w:b w:val="false"/>
          <w:bCs w:val="false"/>
          <w:i w:val="false"/>
          <w:iCs w:val="false"/>
        </w:rPr>
      </w:r>
    </w:p>
    <w:p>
      <w:pPr>
        <w:pStyle w:val="Normal"/>
        <w:bidi w:val="0"/>
        <w:ind w:hanging="283" w:start="283" w:end="0"/>
        <w:jc w:val="start"/>
        <w:rPr>
          <w:b w:val="false"/>
          <w:bCs w:val="false"/>
          <w:i w:val="false"/>
          <w:iCs w:val="false"/>
        </w:rPr>
      </w:pPr>
      <w:r>
        <w:rPr>
          <w:b w:val="false"/>
          <w:bCs w:val="false"/>
          <w:i w:val="false"/>
          <w:iCs w:val="false"/>
        </w:rPr>
      </w:r>
      <w:r>
        <w:br w:type="page"/>
      </w:r>
    </w:p>
    <w:p>
      <w:pPr>
        <w:pStyle w:val="Normal"/>
        <w:bidi w:val="0"/>
        <w:spacing w:lineRule="auto" w:line="480" w:before="0" w:after="0"/>
        <w:ind w:hanging="0" w:start="0" w:end="0"/>
        <w:jc w:val="start"/>
        <w:rPr/>
      </w:pPr>
      <w:r>
        <w:rPr>
          <w:b/>
          <w:bCs/>
          <w:i w:val="false"/>
          <w:iCs w:val="false"/>
        </w:rPr>
        <w:t>Part I – Interpretation</w:t>
      </w:r>
    </w:p>
    <w:p>
      <w:pPr>
        <w:pStyle w:val="Normal"/>
        <w:bidi w:val="0"/>
        <w:spacing w:lineRule="auto" w:line="480" w:before="0" w:after="0"/>
        <w:ind w:hanging="0" w:start="0" w:end="0"/>
        <w:jc w:val="start"/>
        <w:rPr/>
      </w:pPr>
      <w:r>
        <w:rPr>
          <w:b w:val="false"/>
          <w:bCs w:val="false"/>
          <w:i/>
          <w:iCs/>
        </w:rPr>
        <w:t>Definitions</w:t>
      </w:r>
    </w:p>
    <w:p>
      <w:pPr>
        <w:pStyle w:val="Normal"/>
        <w:numPr>
          <w:ilvl w:val="0"/>
          <w:numId w:val="2"/>
        </w:numPr>
        <w:bidi w:val="0"/>
        <w:spacing w:lineRule="auto" w:line="480" w:before="0" w:after="0"/>
        <w:ind w:hanging="340" w:start="340" w:end="0"/>
        <w:jc w:val="start"/>
        <w:rPr>
          <w:b w:val="false"/>
          <w:bCs w:val="false"/>
          <w:i w:val="false"/>
          <w:iCs w:val="false"/>
        </w:rPr>
      </w:pPr>
      <w:r>
        <w:rPr>
          <w:b w:val="false"/>
          <w:bCs w:val="false"/>
          <w:i w:val="false"/>
          <w:iCs w:val="false"/>
        </w:rPr>
        <w:t>(1) In this agreement,</w:t>
      </w:r>
    </w:p>
    <w:p>
      <w:pPr>
        <w:pStyle w:val="Normal"/>
        <w:widowControl w:val="false"/>
        <w:bidi w:val="0"/>
        <w:spacing w:lineRule="auto" w:line="480" w:before="0" w:after="0"/>
        <w:ind w:hanging="340" w:start="340" w:end="0"/>
        <w:jc w:val="start"/>
        <w:rPr>
          <w:shd w:fill="auto" w:val="clear"/>
        </w:rPr>
      </w:pPr>
      <w:r>
        <w:rPr>
          <w:rFonts w:ascii="Times New Roman" w:hAnsi="Times New Roman"/>
          <w:b w:val="false"/>
          <w:bCs w:val="false"/>
          <w:sz w:val="24"/>
          <w:szCs w:val="24"/>
          <w:shd w:fill="auto" w:val="clear"/>
        </w:rPr>
        <w:t>‘</w:t>
      </w:r>
      <w:r>
        <w:rPr>
          <w:rFonts w:ascii="Times New Roman" w:hAnsi="Times New Roman"/>
          <w:b w:val="false"/>
          <w:bCs w:val="false"/>
          <w:sz w:val="24"/>
          <w:szCs w:val="24"/>
          <w:shd w:fill="auto" w:val="clear"/>
        </w:rPr>
        <w:t xml:space="preserve">contract’ means the agreement concluded between the parties to this agreement on </w:t>
      </w:r>
      <w:r>
        <w:rPr>
          <w:rFonts w:ascii="Times New Roman" w:hAnsi="Times New Roman"/>
          <w:b w:val="false"/>
          <w:bCs w:val="false"/>
          <w:sz w:val="24"/>
          <w:szCs w:val="24"/>
          <w:shd w:fill="FFFF00" w:val="clear"/>
        </w:rPr>
        <w:t>[]</w:t>
      </w:r>
      <w:r>
        <w:rPr>
          <w:rFonts w:ascii="Times New Roman" w:hAnsi="Times New Roman"/>
          <w:b w:val="false"/>
          <w:bCs w:val="false"/>
          <w:sz w:val="24"/>
          <w:szCs w:val="24"/>
          <w:shd w:fill="auto" w:val="clear"/>
        </w:rPr>
        <w:t xml:space="preserve"> and entitled </w:t>
      </w:r>
      <w:r>
        <w:rPr>
          <w:rFonts w:ascii="Times New Roman" w:hAnsi="Times New Roman"/>
          <w:b w:val="false"/>
          <w:bCs w:val="false"/>
          <w:sz w:val="24"/>
          <w:szCs w:val="24"/>
          <w:shd w:fill="FFFF00" w:val="clear"/>
        </w:rPr>
        <w:t>[]</w:t>
      </w:r>
      <w:r>
        <w:rPr>
          <w:rFonts w:ascii="Times New Roman" w:hAnsi="Times New Roman"/>
          <w:b w:val="false"/>
          <w:bCs w:val="false"/>
          <w:sz w:val="24"/>
          <w:szCs w:val="24"/>
          <w:shd w:fill="auto" w:val="clear"/>
        </w:rPr>
        <w:t>.</w:t>
      </w:r>
    </w:p>
    <w:p>
      <w:pPr>
        <w:pStyle w:val="Normal"/>
        <w:widowControl w:val="false"/>
        <w:bidi w:val="0"/>
        <w:spacing w:lineRule="auto" w:line="480" w:before="0" w:after="0"/>
        <w:ind w:hanging="340" w:start="340" w:end="0"/>
        <w:jc w:val="start"/>
        <w:rPr>
          <w:shd w:fill="auto" w:val="clear"/>
        </w:rPr>
      </w:pPr>
      <w:r>
        <w:rPr>
          <w:rFonts w:ascii="Times New Roman" w:hAnsi="Times New Roman"/>
          <w:b w:val="false"/>
          <w:bCs w:val="false"/>
          <w:sz w:val="24"/>
          <w:szCs w:val="24"/>
          <w:shd w:fill="auto" w:val="clear"/>
        </w:rPr>
        <w:t>‘</w:t>
      </w:r>
      <w:r>
        <w:rPr>
          <w:rFonts w:ascii="Times New Roman" w:hAnsi="Times New Roman"/>
          <w:b w:val="false"/>
          <w:bCs w:val="false"/>
          <w:sz w:val="24"/>
          <w:szCs w:val="24"/>
          <w:shd w:fill="auto" w:val="clear"/>
        </w:rPr>
        <w:t xml:space="preserve">dispute’ means any matter regarding the administration of </w:t>
      </w:r>
      <w:r>
        <w:rPr>
          <w:rFonts w:ascii="Times New Roman" w:hAnsi="Times New Roman"/>
          <w:b w:val="false"/>
          <w:bCs w:val="false"/>
          <w:sz w:val="24"/>
          <w:szCs w:val="24"/>
          <w:shd w:fill="auto" w:val="clear"/>
        </w:rPr>
        <w:t>the contract</w:t>
      </w:r>
      <w:r>
        <w:rPr>
          <w:rFonts w:ascii="Times New Roman" w:hAnsi="Times New Roman"/>
          <w:b w:val="false"/>
          <w:bCs w:val="false"/>
          <w:sz w:val="24"/>
          <w:szCs w:val="24"/>
          <w:shd w:fill="auto" w:val="clear"/>
        </w:rPr>
        <w:t xml:space="preserve"> agreement not provided for in th</w:t>
      </w:r>
      <w:r>
        <w:rPr>
          <w:rFonts w:ascii="Times New Roman" w:hAnsi="Times New Roman"/>
          <w:b w:val="false"/>
          <w:bCs w:val="false"/>
          <w:sz w:val="24"/>
          <w:szCs w:val="24"/>
          <w:shd w:fill="auto" w:val="clear"/>
        </w:rPr>
        <w:t>e contract</w:t>
      </w:r>
      <w:r>
        <w:rPr>
          <w:rFonts w:ascii="Times New Roman" w:hAnsi="Times New Roman"/>
          <w:b w:val="false"/>
          <w:bCs w:val="false"/>
          <w:sz w:val="24"/>
          <w:szCs w:val="24"/>
          <w:shd w:fill="auto" w:val="clear"/>
        </w:rPr>
        <w:t xml:space="preserve"> or a disagreement between the parties with respect to discrepancies, issues, disputes, harm, loss, injury, action, a claim, and/or a potential claim that come into existence as a result of or in connection with th</w:t>
      </w:r>
      <w:r>
        <w:rPr>
          <w:rFonts w:ascii="Times New Roman" w:hAnsi="Times New Roman"/>
          <w:b w:val="false"/>
          <w:bCs w:val="false"/>
          <w:sz w:val="24"/>
          <w:szCs w:val="24"/>
          <w:shd w:fill="auto" w:val="clear"/>
        </w:rPr>
        <w:t>e contract</w:t>
      </w:r>
      <w:r>
        <w:rPr>
          <w:rFonts w:ascii="Times New Roman" w:hAnsi="Times New Roman"/>
          <w:b w:val="false"/>
          <w:bCs w:val="false"/>
          <w:sz w:val="24"/>
          <w:szCs w:val="24"/>
          <w:shd w:fill="auto" w:val="clear"/>
        </w:rPr>
        <w:t>.</w:t>
      </w:r>
    </w:p>
    <w:p>
      <w:pPr>
        <w:pStyle w:val="BodyText"/>
        <w:widowControl/>
        <w:suppressAutoHyphens w:val="true"/>
        <w:bidi w:val="0"/>
        <w:spacing w:lineRule="auto" w:line="480" w:before="0" w:after="0"/>
        <w:ind w:hanging="397" w:start="397" w:end="0"/>
        <w:jc w:val="start"/>
        <w:rPr>
          <w:b w:val="false"/>
          <w:bCs w:val="false"/>
        </w:rPr>
      </w:pPr>
      <w:r>
        <w:rPr>
          <w:b w:val="false"/>
          <w:bCs w:val="false"/>
        </w:rPr>
        <w:t>‘</w:t>
      </w:r>
      <w:r>
        <w:rPr>
          <w:b w:val="false"/>
          <w:bCs w:val="false"/>
        </w:rPr>
        <w:t>statute’ means documents enacted by the Parliament of the Province of Ontario or the Parliament of Canada that are published in the annual or consolidated statutes of those respective legislatures, any regulations made under the authority of those documents, any regulations or orders-in-council made under the authority of the Royal prerogative, any municipal by-law that may affect the parties or the development property, and any order issued by a municipal government that may affect the parties or the development property.</w:t>
      </w:r>
    </w:p>
    <w:p>
      <w:pPr>
        <w:pStyle w:val="BodyText"/>
        <w:widowControl/>
        <w:suppressAutoHyphens w:val="true"/>
        <w:bidi w:val="0"/>
        <w:spacing w:lineRule="auto" w:line="480" w:before="0" w:after="0"/>
        <w:ind w:hanging="397" w:start="397" w:end="0"/>
        <w:jc w:val="start"/>
        <w:rPr>
          <w:b w:val="false"/>
          <w:bCs w:val="false"/>
          <w:i/>
          <w:iCs/>
        </w:rPr>
      </w:pPr>
      <w:r>
        <w:rPr>
          <w:b w:val="false"/>
          <w:bCs w:val="false"/>
          <w:i/>
          <w:iCs/>
        </w:rPr>
        <w:t>Semantic interpretation</w:t>
      </w:r>
    </w:p>
    <w:p>
      <w:pPr>
        <w:pStyle w:val="BodyText"/>
        <w:widowControl/>
        <w:suppressAutoHyphens w:val="true"/>
        <w:bidi w:val="0"/>
        <w:spacing w:lineRule="auto" w:line="480" w:before="0" w:after="0"/>
        <w:ind w:hanging="397" w:start="397" w:end="0"/>
        <w:jc w:val="start"/>
        <w:rPr>
          <w:rFonts w:ascii="Times New Roman" w:hAnsi="Times New Roman"/>
          <w:b w:val="false"/>
          <w:bCs w:val="false"/>
          <w:sz w:val="24"/>
          <w:szCs w:val="24"/>
        </w:rPr>
      </w:pPr>
      <w:r>
        <w:rPr>
          <w:rFonts w:ascii="Times New Roman" w:hAnsi="Times New Roman"/>
          <w:b w:val="false"/>
          <w:bCs w:val="false"/>
          <w:sz w:val="24"/>
          <w:szCs w:val="24"/>
        </w:rPr>
        <w:tab/>
        <w:t xml:space="preserve">(2) Any derivative of a word or phrase defined in sub-section (1) has the same meaning, intent, and scope as the defined term from which it is derived if the derivative </w:t>
      </w:r>
    </w:p>
    <w:p>
      <w:pPr>
        <w:pStyle w:val="BodyText"/>
        <w:widowControl/>
        <w:numPr>
          <w:ilvl w:val="0"/>
          <w:numId w:val="3"/>
        </w:numPr>
        <w:suppressAutoHyphens w:val="true"/>
        <w:bidi w:val="0"/>
        <w:spacing w:lineRule="auto" w:line="480" w:before="0" w:after="0"/>
        <w:jc w:val="start"/>
        <w:rPr>
          <w:b w:val="false"/>
          <w:bCs w:val="false"/>
        </w:rPr>
      </w:pPr>
      <w:r>
        <w:rPr>
          <w:b w:val="false"/>
          <w:bCs w:val="false"/>
        </w:rPr>
        <w:t>is grammatically or semantically related to the defined term;  and</w:t>
      </w:r>
    </w:p>
    <w:p>
      <w:pPr>
        <w:pStyle w:val="BodyText"/>
        <w:widowControl/>
        <w:numPr>
          <w:ilvl w:val="0"/>
          <w:numId w:val="3"/>
        </w:numPr>
        <w:suppressAutoHyphens w:val="true"/>
        <w:bidi w:val="0"/>
        <w:spacing w:lineRule="auto" w:line="480" w:before="0" w:after="0"/>
        <w:jc w:val="start"/>
        <w:rPr>
          <w:rFonts w:ascii="Times New Roman" w:hAnsi="Times New Roman"/>
          <w:b w:val="false"/>
          <w:bCs w:val="false"/>
          <w:sz w:val="24"/>
          <w:szCs w:val="24"/>
        </w:rPr>
      </w:pPr>
      <w:r>
        <w:rPr>
          <w:rFonts w:ascii="Times New Roman" w:hAnsi="Times New Roman"/>
          <w:b w:val="false"/>
          <w:bCs w:val="false"/>
          <w:sz w:val="24"/>
          <w:szCs w:val="24"/>
        </w:rPr>
        <w:t>reasonably bears the same or substantially similar meaning in the context of the sentence, provision, and agreement in which it is used.</w:t>
      </w:r>
    </w:p>
    <w:p>
      <w:pPr>
        <w:pStyle w:val="BodyText"/>
        <w:bidi w:val="0"/>
        <w:spacing w:lineRule="auto" w:line="480" w:before="0" w:after="0"/>
        <w:ind w:hanging="340" w:start="340" w:end="0"/>
        <w:jc w:val="start"/>
        <w:rPr/>
      </w:pPr>
      <w:r>
        <w:rPr>
          <w:rFonts w:ascii="Times New Roman;serif" w:hAnsi="Times New Roman;serif"/>
          <w:b w:val="false"/>
          <w:bCs w:val="false"/>
          <w:i/>
          <w:iCs w:val="false"/>
          <w:sz w:val="24"/>
        </w:rPr>
        <w:t>Rules of construction</w:t>
      </w:r>
    </w:p>
    <w:p>
      <w:pPr>
        <w:pStyle w:val="Normal"/>
        <w:numPr>
          <w:ilvl w:val="0"/>
          <w:numId w:val="2"/>
        </w:numPr>
        <w:bidi w:val="0"/>
        <w:spacing w:lineRule="auto" w:line="480" w:before="0" w:after="0"/>
        <w:ind w:hanging="340" w:start="340" w:end="0"/>
        <w:jc w:val="start"/>
        <w:rPr/>
      </w:pPr>
      <w:r>
        <w:rPr>
          <w:b w:val="false"/>
          <w:bCs w:val="false"/>
          <w:i w:val="false"/>
          <w:iCs w:val="false"/>
        </w:rPr>
        <w:t xml:space="preserve">(1) This agreement must be construed by </w:t>
      </w:r>
    </w:p>
    <w:p>
      <w:pPr>
        <w:pStyle w:val="Normal"/>
        <w:numPr>
          <w:ilvl w:val="1"/>
          <w:numId w:val="2"/>
        </w:numPr>
        <w:bidi w:val="0"/>
        <w:spacing w:lineRule="auto" w:line="480" w:before="0" w:after="0"/>
        <w:ind w:hanging="340" w:start="737" w:end="0"/>
        <w:jc w:val="start"/>
        <w:rPr/>
      </w:pPr>
      <w:r>
        <w:rPr>
          <w:b w:val="false"/>
          <w:bCs w:val="false"/>
          <w:i w:val="false"/>
          <w:iCs w:val="false"/>
        </w:rPr>
        <w:t>giving every provision in this agreement a commercially reasonable meaning capable of subsisting between the parties at the time at which the agreement was formed;</w:t>
      </w:r>
    </w:p>
    <w:p>
      <w:pPr>
        <w:pStyle w:val="Normal"/>
        <w:numPr>
          <w:ilvl w:val="1"/>
          <w:numId w:val="2"/>
        </w:numPr>
        <w:bidi w:val="0"/>
        <w:spacing w:lineRule="auto" w:line="480" w:before="0" w:after="0"/>
        <w:ind w:hanging="340" w:start="737" w:end="0"/>
        <w:jc w:val="start"/>
        <w:rPr/>
      </w:pPr>
      <w:r>
        <w:rPr>
          <w:b w:val="false"/>
          <w:bCs w:val="false"/>
          <w:i w:val="false"/>
          <w:iCs w:val="false"/>
        </w:rPr>
        <w:t>presuming that every provision in this agreement is intended to create obligations and benefits as between the parties; and</w:t>
      </w:r>
    </w:p>
    <w:p>
      <w:pPr>
        <w:pStyle w:val="Normal"/>
        <w:numPr>
          <w:ilvl w:val="1"/>
          <w:numId w:val="2"/>
        </w:numPr>
        <w:bidi w:val="0"/>
        <w:spacing w:lineRule="auto" w:line="480" w:before="0" w:after="0"/>
        <w:ind w:hanging="340" w:start="737" w:end="0"/>
        <w:jc w:val="start"/>
        <w:rPr/>
      </w:pPr>
      <w:r>
        <w:rPr>
          <w:b w:val="false"/>
          <w:bCs w:val="false"/>
          <w:i w:val="false"/>
          <w:iCs w:val="false"/>
        </w:rPr>
        <w:t>reading every provision in this agreement as a part of the entire agreement.</w:t>
      </w:r>
    </w:p>
    <w:p>
      <w:pPr>
        <w:pStyle w:val="Normal"/>
        <w:numPr>
          <w:ilvl w:val="0"/>
          <w:numId w:val="0"/>
        </w:numPr>
        <w:bidi w:val="0"/>
        <w:spacing w:lineRule="auto" w:line="480" w:before="0" w:after="0"/>
        <w:ind w:hanging="0" w:start="340" w:end="0"/>
        <w:jc w:val="start"/>
        <w:rPr/>
      </w:pPr>
      <w:r>
        <w:rPr>
          <w:b w:val="false"/>
          <w:bCs w:val="false"/>
          <w:i w:val="false"/>
          <w:iCs w:val="false"/>
        </w:rPr>
        <w:t>(2) Where a matter or thing is expressed in the present tense, that matter or thing must be applied to the circumstances as they arise, so that effect may be given to this agreement operating in the circumstances as they arise.</w:t>
      </w:r>
    </w:p>
    <w:p>
      <w:pPr>
        <w:pStyle w:val="Normal"/>
        <w:bidi w:val="0"/>
        <w:spacing w:lineRule="auto" w:line="480" w:before="0" w:after="0"/>
        <w:ind w:hanging="340" w:start="340" w:end="0"/>
        <w:jc w:val="start"/>
        <w:rPr/>
      </w:pPr>
      <w:r>
        <w:rPr>
          <w:b w:val="false"/>
          <w:bCs w:val="false"/>
          <w:i/>
          <w:iCs/>
        </w:rPr>
        <w:t>Recitals</w:t>
      </w:r>
    </w:p>
    <w:p>
      <w:pPr>
        <w:pStyle w:val="Normal"/>
        <w:numPr>
          <w:ilvl w:val="0"/>
          <w:numId w:val="2"/>
        </w:numPr>
        <w:bidi w:val="0"/>
        <w:spacing w:lineRule="auto" w:line="480" w:before="0" w:after="0"/>
        <w:ind w:hanging="340" w:start="340" w:end="0"/>
        <w:jc w:val="start"/>
        <w:rPr/>
      </w:pPr>
      <w:r>
        <w:rPr>
          <w:b w:val="false"/>
          <w:bCs w:val="false"/>
          <w:i w:val="false"/>
          <w:iCs w:val="false"/>
        </w:rPr>
        <w:t>The recitals to this agreement must be read as part of the agreement intended to assist in explaining the context in which the agreement is made and its purport and object.</w:t>
      </w:r>
    </w:p>
    <w:p>
      <w:pPr>
        <w:pStyle w:val="Normal"/>
        <w:bidi w:val="0"/>
        <w:spacing w:lineRule="auto" w:line="480" w:before="0" w:after="0"/>
        <w:ind w:hanging="340" w:start="340" w:end="0"/>
        <w:jc w:val="start"/>
        <w:rPr/>
      </w:pPr>
      <w:r>
        <w:rPr>
          <w:b w:val="false"/>
          <w:bCs w:val="false"/>
          <w:i/>
          <w:iCs/>
        </w:rPr>
        <w:t>Headings and marginal notes</w:t>
      </w:r>
    </w:p>
    <w:p>
      <w:pPr>
        <w:pStyle w:val="Normal"/>
        <w:numPr>
          <w:ilvl w:val="0"/>
          <w:numId w:val="2"/>
        </w:numPr>
        <w:bidi w:val="0"/>
        <w:spacing w:lineRule="auto" w:line="480" w:before="0" w:after="0"/>
        <w:ind w:hanging="340" w:start="340" w:end="0"/>
        <w:jc w:val="start"/>
        <w:rPr/>
      </w:pPr>
      <w:r>
        <w:rPr>
          <w:b w:val="false"/>
          <w:bCs w:val="false"/>
          <w:i w:val="false"/>
          <w:iCs w:val="false"/>
        </w:rPr>
        <w:t>Headings and marginal notes form no part of this agreement but are inserted for convenience of reference only.</w:t>
      </w:r>
    </w:p>
    <w:p>
      <w:pPr>
        <w:pStyle w:val="Normal"/>
        <w:bidi w:val="0"/>
        <w:spacing w:lineRule="auto" w:line="480" w:before="0" w:after="0"/>
        <w:ind w:hanging="340" w:start="340" w:end="0"/>
        <w:jc w:val="start"/>
        <w:rPr/>
      </w:pPr>
      <w:r>
        <w:rPr>
          <w:b w:val="false"/>
          <w:bCs w:val="false"/>
          <w:i/>
          <w:iCs/>
        </w:rPr>
        <w:t>Number, gender, and persons</w:t>
      </w:r>
    </w:p>
    <w:p>
      <w:pPr>
        <w:pStyle w:val="Normal"/>
        <w:numPr>
          <w:ilvl w:val="0"/>
          <w:numId w:val="2"/>
        </w:numPr>
        <w:bidi w:val="0"/>
        <w:spacing w:lineRule="auto" w:line="480" w:before="0" w:after="0"/>
        <w:ind w:hanging="340" w:start="340" w:end="0"/>
        <w:jc w:val="start"/>
        <w:rPr/>
      </w:pPr>
      <w:r>
        <w:rPr>
          <w:b w:val="false"/>
          <w:bCs w:val="false"/>
          <w:i w:val="false"/>
          <w:iCs w:val="false"/>
        </w:rPr>
        <w:t>In this agreement, if a word</w:t>
      </w:r>
    </w:p>
    <w:p>
      <w:pPr>
        <w:pStyle w:val="Normal"/>
        <w:numPr>
          <w:ilvl w:val="0"/>
          <w:numId w:val="0"/>
        </w:numPr>
        <w:bidi w:val="0"/>
        <w:spacing w:lineRule="auto" w:line="480" w:before="0" w:after="0"/>
        <w:ind w:hanging="0" w:start="567" w:end="0"/>
        <w:jc w:val="start"/>
        <w:rPr/>
      </w:pPr>
      <w:r>
        <w:rPr>
          <w:b w:val="false"/>
          <w:bCs w:val="false"/>
          <w:i w:val="false"/>
          <w:iCs w:val="false"/>
        </w:rPr>
        <w:t xml:space="preserve">is singular, it includes the plural and vice versa; </w:t>
      </w:r>
    </w:p>
    <w:p>
      <w:pPr>
        <w:pStyle w:val="Normal"/>
        <w:numPr>
          <w:ilvl w:val="0"/>
          <w:numId w:val="0"/>
        </w:numPr>
        <w:bidi w:val="0"/>
        <w:spacing w:lineRule="auto" w:line="480" w:before="0" w:after="0"/>
        <w:ind w:hanging="0" w:start="567" w:end="0"/>
        <w:jc w:val="start"/>
        <w:rPr/>
      </w:pPr>
      <w:r>
        <w:rPr>
          <w:b w:val="false"/>
          <w:bCs w:val="false"/>
          <w:i w:val="false"/>
          <w:iCs w:val="false"/>
        </w:rPr>
        <w:t xml:space="preserve">refers to a specific gender, it includes all genders; or </w:t>
      </w:r>
    </w:p>
    <w:p>
      <w:pPr>
        <w:pStyle w:val="Normal"/>
        <w:numPr>
          <w:ilvl w:val="0"/>
          <w:numId w:val="0"/>
        </w:numPr>
        <w:bidi w:val="0"/>
        <w:spacing w:lineRule="auto" w:line="480" w:before="0" w:after="0"/>
        <w:ind w:hanging="0" w:start="567" w:end="0"/>
        <w:jc w:val="start"/>
        <w:rPr/>
      </w:pPr>
      <w:r>
        <w:rPr>
          <w:b w:val="false"/>
          <w:bCs w:val="false"/>
          <w:i w:val="false"/>
          <w:iCs w:val="false"/>
        </w:rPr>
        <w:t>refers to a "person," it includes individuals, corporations, partnerships, associations, trusts, unincorporated organizations, governmental bodies, or any other legal / business entities that may be recognized at law or in equity.</w:t>
      </w:r>
    </w:p>
    <w:p>
      <w:pPr>
        <w:pStyle w:val="Normal"/>
        <w:numPr>
          <w:ilvl w:val="0"/>
          <w:numId w:val="0"/>
        </w:numPr>
        <w:bidi w:val="0"/>
        <w:spacing w:lineRule="auto" w:line="480" w:before="0" w:after="0"/>
        <w:ind w:hanging="0" w:start="0" w:end="0"/>
        <w:jc w:val="start"/>
        <w:rPr/>
      </w:pPr>
      <w:r>
        <w:rPr>
          <w:b w:val="false"/>
          <w:bCs w:val="false"/>
          <w:i/>
          <w:iCs/>
        </w:rPr>
        <w:t>Parties</w:t>
      </w:r>
    </w:p>
    <w:p>
      <w:pPr>
        <w:pStyle w:val="Normal"/>
        <w:numPr>
          <w:ilvl w:val="0"/>
          <w:numId w:val="2"/>
        </w:numPr>
        <w:bidi w:val="0"/>
        <w:spacing w:lineRule="auto" w:line="480" w:before="0" w:after="0"/>
        <w:ind w:hanging="340" w:start="340" w:end="0"/>
        <w:jc w:val="start"/>
        <w:rPr/>
      </w:pPr>
      <w:r>
        <w:rPr>
          <w:b w:val="false"/>
          <w:bCs w:val="false"/>
          <w:i w:val="false"/>
          <w:iCs w:val="false"/>
        </w:rPr>
        <w:t>Any reference to a party to this agreement includes a reference to that party’s agents, representatives, directors, authorized partners, its authorized employees, or its beneficiaries.</w:t>
      </w:r>
    </w:p>
    <w:p>
      <w:pPr>
        <w:pStyle w:val="Normal"/>
        <w:bidi w:val="0"/>
        <w:spacing w:lineRule="auto" w:line="480" w:before="0" w:after="0"/>
        <w:ind w:hanging="340" w:start="340" w:end="0"/>
        <w:jc w:val="start"/>
        <w:rPr/>
      </w:pPr>
      <w:r>
        <w:rPr>
          <w:b w:val="false"/>
          <w:bCs w:val="false"/>
          <w:i/>
          <w:iCs/>
        </w:rPr>
        <w:t>Schedules and addenda</w:t>
      </w:r>
    </w:p>
    <w:p>
      <w:pPr>
        <w:pStyle w:val="Normal"/>
        <w:numPr>
          <w:ilvl w:val="0"/>
          <w:numId w:val="2"/>
        </w:numPr>
        <w:bidi w:val="0"/>
        <w:spacing w:lineRule="auto" w:line="480" w:before="0" w:after="0"/>
        <w:ind w:hanging="340" w:start="340" w:end="0"/>
        <w:jc w:val="start"/>
        <w:rPr/>
      </w:pPr>
      <w:r>
        <w:rPr>
          <w:b w:val="false"/>
          <w:bCs w:val="false"/>
          <w:i w:val="false"/>
          <w:iCs w:val="false"/>
        </w:rPr>
        <w:t>Any schedules, exhibits, or other addenda appended to this agreement at the time that this agreement is executed form part of this agreement if any provision of this agreement refers to the schedule, exhibit, or other addenda.</w:t>
      </w:r>
    </w:p>
    <w:p>
      <w:pPr>
        <w:pStyle w:val="BodyText"/>
        <w:bidi w:val="0"/>
        <w:spacing w:lineRule="auto" w:line="480" w:before="0" w:after="0"/>
        <w:ind w:hanging="340" w:start="340" w:end="0"/>
        <w:jc w:val="start"/>
        <w:rPr/>
      </w:pPr>
      <w:r>
        <w:rPr>
          <w:rFonts w:ascii="Times New Roman;serif" w:hAnsi="Times New Roman;serif"/>
          <w:b w:val="false"/>
          <w:bCs w:val="false"/>
          <w:i/>
          <w:iCs/>
          <w:sz w:val="24"/>
        </w:rPr>
        <w:t>Incorporation by reference</w:t>
      </w:r>
    </w:p>
    <w:p>
      <w:pPr>
        <w:pStyle w:val="Normal"/>
        <w:numPr>
          <w:ilvl w:val="0"/>
          <w:numId w:val="2"/>
        </w:numPr>
        <w:bidi w:val="0"/>
        <w:spacing w:lineRule="auto" w:line="480" w:before="0" w:after="0"/>
        <w:ind w:hanging="340" w:start="340" w:end="0"/>
        <w:jc w:val="start"/>
        <w:rPr/>
      </w:pPr>
      <w:r>
        <w:rPr>
          <w:b w:val="false"/>
          <w:bCs w:val="false"/>
          <w:i w:val="false"/>
          <w:iCs w:val="false"/>
        </w:rPr>
        <w:t>Any document or writing extrinsic to this agreement is incorporated by reference if the document is</w:t>
      </w:r>
    </w:p>
    <w:p>
      <w:pPr>
        <w:pStyle w:val="Normal"/>
        <w:numPr>
          <w:ilvl w:val="1"/>
          <w:numId w:val="2"/>
        </w:numPr>
        <w:bidi w:val="0"/>
        <w:spacing w:lineRule="auto" w:line="480" w:before="0" w:after="0"/>
        <w:ind w:hanging="340" w:start="737" w:end="0"/>
        <w:jc w:val="start"/>
        <w:rPr/>
      </w:pPr>
      <w:r>
        <w:rPr>
          <w:b w:val="false"/>
          <w:bCs w:val="false"/>
          <w:i w:val="false"/>
          <w:iCs w:val="false"/>
        </w:rPr>
        <w:t>identified by full name or title within this agreement;</w:t>
      </w:r>
    </w:p>
    <w:p>
      <w:pPr>
        <w:pStyle w:val="Normal"/>
        <w:numPr>
          <w:ilvl w:val="1"/>
          <w:numId w:val="2"/>
        </w:numPr>
        <w:bidi w:val="0"/>
        <w:spacing w:lineRule="auto" w:line="480" w:before="0" w:after="0"/>
        <w:ind w:hanging="340" w:start="737" w:end="0"/>
        <w:jc w:val="start"/>
        <w:rPr/>
      </w:pPr>
      <w:r>
        <w:rPr>
          <w:b w:val="false"/>
          <w:bCs w:val="false"/>
          <w:i w:val="false"/>
          <w:iCs w:val="false"/>
        </w:rPr>
        <w:t>executed by the one or more of the same parties as this agreement; and</w:t>
      </w:r>
    </w:p>
    <w:p>
      <w:pPr>
        <w:pStyle w:val="Normal"/>
        <w:numPr>
          <w:ilvl w:val="1"/>
          <w:numId w:val="2"/>
        </w:numPr>
        <w:bidi w:val="0"/>
        <w:spacing w:lineRule="auto" w:line="480" w:before="0" w:after="0"/>
        <w:ind w:hanging="340" w:start="737" w:end="0"/>
        <w:jc w:val="start"/>
        <w:rPr/>
      </w:pPr>
      <w:r>
        <w:rPr>
          <w:b w:val="false"/>
          <w:bCs w:val="false"/>
          <w:i w:val="false"/>
          <w:iCs w:val="false"/>
        </w:rPr>
        <w:t>effective prior to or concurrent with the execution of this agreement.</w:t>
      </w:r>
    </w:p>
    <w:p>
      <w:pPr>
        <w:pStyle w:val="Normal"/>
        <w:bidi w:val="0"/>
        <w:spacing w:lineRule="auto" w:line="480" w:before="0" w:after="0"/>
        <w:ind w:hanging="0" w:start="0" w:end="0"/>
        <w:jc w:val="start"/>
        <w:rPr/>
      </w:pPr>
      <w:r>
        <w:rPr>
          <w:b w:val="false"/>
          <w:bCs w:val="false"/>
          <w:i/>
          <w:iCs/>
        </w:rPr>
        <w:t>Domicile</w:t>
      </w:r>
    </w:p>
    <w:p>
      <w:pPr>
        <w:pStyle w:val="Normal"/>
        <w:numPr>
          <w:ilvl w:val="0"/>
          <w:numId w:val="2"/>
        </w:numPr>
        <w:bidi w:val="0"/>
        <w:spacing w:lineRule="auto" w:line="480" w:before="0" w:after="0"/>
        <w:ind w:hanging="340" w:start="340" w:end="0"/>
        <w:jc w:val="start"/>
        <w:rPr/>
      </w:pPr>
      <w:bookmarkStart w:id="0" w:name="__RefNumPara__1852_3293926641"/>
      <w:bookmarkEnd w:id="0"/>
      <w:r>
        <w:rPr>
          <w:b w:val="false"/>
          <w:bCs w:val="false"/>
          <w:i w:val="false"/>
          <w:iCs w:val="false"/>
        </w:rPr>
        <w:t xml:space="preserve">This agreement must be interpreted to accord with the laws of Ontario and applicable Canadian federal laws. </w:t>
      </w:r>
    </w:p>
    <w:p>
      <w:pPr>
        <w:pStyle w:val="Normal"/>
        <w:bidi w:val="0"/>
        <w:spacing w:lineRule="auto" w:line="480" w:before="0" w:after="0"/>
        <w:ind w:hanging="340" w:start="340" w:end="0"/>
        <w:jc w:val="start"/>
        <w:rPr/>
      </w:pPr>
      <w:r>
        <w:rPr>
          <w:b w:val="false"/>
          <w:bCs w:val="false"/>
          <w:i/>
          <w:iCs/>
        </w:rPr>
        <w:t>Exclusions</w:t>
      </w:r>
    </w:p>
    <w:p>
      <w:pPr>
        <w:pStyle w:val="Normal"/>
        <w:numPr>
          <w:ilvl w:val="0"/>
          <w:numId w:val="2"/>
        </w:numPr>
        <w:bidi w:val="0"/>
        <w:spacing w:lineRule="auto" w:line="480" w:before="0" w:after="0"/>
        <w:ind w:hanging="340" w:start="340" w:end="0"/>
        <w:jc w:val="start"/>
        <w:rPr/>
      </w:pPr>
      <w:r>
        <w:rPr>
          <w:b w:val="false"/>
          <w:bCs w:val="false"/>
          <w:i w:val="false"/>
          <w:iCs w:val="false"/>
        </w:rPr>
        <w:t xml:space="preserve">(1) Despite section </w:t>
      </w:r>
      <w:r>
        <w:rPr>
          <w:b w:val="false"/>
          <w:bCs w:val="false"/>
          <w:i w:val="false"/>
          <w:iCs w:val="false"/>
        </w:rPr>
        <w:fldChar w:fldCharType="begin"/>
      </w:r>
      <w:r>
        <w:rPr>
          <w:b w:val="false"/>
          <w:bCs w:val="false"/>
          <w:i w:val="false"/>
          <w:iCs w:val="false"/>
        </w:rPr>
        <w:instrText xml:space="preserve"> REF __RefNumPara__1852_3293926641 \r \r \h </w:instrText>
      </w:r>
      <w:r>
        <w:rPr>
          <w:b w:val="false"/>
          <w:bCs w:val="false"/>
          <w:i w:val="false"/>
          <w:iCs w:val="false"/>
        </w:rPr>
        <w:fldChar w:fldCharType="separate"/>
      </w:r>
      <w:r>
        <w:rPr>
          <w:b w:val="false"/>
          <w:bCs w:val="false"/>
          <w:i w:val="false"/>
          <w:iCs w:val="false"/>
        </w:rPr>
        <w:t>9</w:t>
      </w:r>
      <w:r>
        <w:rPr>
          <w:b w:val="false"/>
          <w:bCs w:val="false"/>
          <w:i w:val="false"/>
          <w:iCs w:val="false"/>
        </w:rPr>
        <w:fldChar w:fldCharType="end"/>
      </w:r>
      <w:r>
        <w:rPr>
          <w:b w:val="false"/>
          <w:bCs w:val="false"/>
          <w:i w:val="false"/>
          <w:iCs w:val="false"/>
        </w:rPr>
        <w:t>, no rule, principle, or maxim of common law or equity may be used to interpret this agreement if such rule, principle, or maxim is excluded from being used as an aid to interpreting this agreement.</w:t>
      </w:r>
    </w:p>
    <w:p>
      <w:pPr>
        <w:pStyle w:val="Normal"/>
        <w:numPr>
          <w:ilvl w:val="0"/>
          <w:numId w:val="0"/>
        </w:numPr>
        <w:bidi w:val="0"/>
        <w:spacing w:lineRule="auto" w:line="480" w:before="0" w:after="0"/>
        <w:ind w:hanging="0" w:start="340" w:end="0"/>
        <w:jc w:val="start"/>
        <w:rPr/>
      </w:pPr>
      <w:r>
        <w:rPr>
          <w:b w:val="false"/>
          <w:bCs w:val="false"/>
          <w:i w:val="false"/>
          <w:iCs w:val="false"/>
        </w:rPr>
        <w:t xml:space="preserve">(2) The rule </w:t>
      </w:r>
      <w:r>
        <w:rPr>
          <w:b w:val="false"/>
          <w:bCs w:val="false"/>
          <w:i/>
          <w:iCs/>
        </w:rPr>
        <w:t>contra proferentum</w:t>
      </w:r>
      <w:r>
        <w:rPr>
          <w:b w:val="false"/>
          <w:bCs w:val="false"/>
          <w:i w:val="false"/>
          <w:iCs w:val="false"/>
        </w:rPr>
        <w:t xml:space="preserve"> by which any ambiguity in the text of this agreement is to be resolved against the party that drafted the ambiguous text is excluded from and may not be used to interpret any provision of this agreement.</w:t>
      </w:r>
    </w:p>
    <w:p>
      <w:pPr>
        <w:pStyle w:val="BodyText"/>
        <w:widowControl/>
        <w:suppressAutoHyphens w:val="true"/>
        <w:bidi w:val="0"/>
        <w:spacing w:lineRule="auto" w:line="480" w:before="0" w:after="0"/>
        <w:ind w:hanging="397" w:start="397" w:end="0"/>
        <w:jc w:val="start"/>
        <w:rPr>
          <w:b/>
          <w:bCs/>
          <w:i w:val="false"/>
          <w:iCs w:val="false"/>
        </w:rPr>
      </w:pPr>
      <w:r>
        <w:rPr>
          <w:b/>
          <w:bCs/>
          <w:i w:val="false"/>
          <w:iCs w:val="false"/>
        </w:rPr>
        <w:t xml:space="preserve">Part II - </w:t>
      </w:r>
      <w:r>
        <w:rPr>
          <w:b/>
          <w:bCs/>
          <w:i w:val="false"/>
          <w:iCs w:val="false"/>
        </w:rPr>
        <w:t>Dispute resolution</w:t>
      </w:r>
    </w:p>
    <w:p>
      <w:pPr>
        <w:pStyle w:val="Normal"/>
        <w:widowControl w:val="false"/>
        <w:numPr>
          <w:ilvl w:val="0"/>
          <w:numId w:val="2"/>
        </w:numPr>
        <w:bidi w:val="0"/>
        <w:spacing w:lineRule="auto" w:line="480" w:before="0" w:after="0"/>
        <w:ind w:hanging="340" w:start="340" w:end="0"/>
        <w:jc w:val="start"/>
        <w:rPr/>
      </w:pPr>
      <w:bookmarkStart w:id="1" w:name="__RefNumPara__5990_3947798210"/>
      <w:bookmarkEnd w:id="1"/>
      <w:r>
        <w:rPr>
          <w:rFonts w:ascii="Times New Roman" w:hAnsi="Times New Roman"/>
          <w:b w:val="false"/>
          <w:bCs w:val="false"/>
          <w:i w:val="false"/>
          <w:iCs w:val="false"/>
          <w:sz w:val="24"/>
          <w:szCs w:val="24"/>
        </w:rPr>
        <w:t>(1) If a dispute arises between the parties, the parties, or senior representatives of the parties, must meet and undertake genuine and good faith negotiations with a review to resolving the matter.</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 xml:space="preserve">(2) The parties must give notice of a matter in the form set out in schedule </w:t>
      </w:r>
      <w:r>
        <w:rPr>
          <w:rFonts w:ascii="Times New Roman" w:hAnsi="Times New Roman"/>
          <w:b w:val="false"/>
          <w:bCs w:val="false"/>
          <w:i w:val="false"/>
          <w:iCs w:val="false"/>
          <w:sz w:val="24"/>
          <w:szCs w:val="24"/>
        </w:rPr>
        <w:t>A</w:t>
      </w:r>
      <w:r>
        <w:rPr>
          <w:rFonts w:ascii="Times New Roman" w:hAnsi="Times New Roman"/>
          <w:b w:val="false"/>
          <w:bCs w:val="false"/>
          <w:i w:val="false"/>
          <w:iCs w:val="false"/>
          <w:sz w:val="24"/>
          <w:szCs w:val="24"/>
        </w:rPr>
        <w:t xml:space="preserve"> if it believes that a dispute exists.</w:t>
      </w:r>
    </w:p>
    <w:p>
      <w:pPr>
        <w:pStyle w:val="Normal"/>
        <w:widowControl w:val="false"/>
        <w:numPr>
          <w:ilvl w:val="0"/>
          <w:numId w:val="0"/>
        </w:numPr>
        <w:suppressAutoHyphens w:val="true"/>
        <w:bidi w:val="0"/>
        <w:spacing w:lineRule="auto" w:line="480" w:before="0" w:after="0"/>
        <w:ind w:hanging="0" w:start="340" w:end="0"/>
        <w:jc w:val="start"/>
        <w:rPr/>
      </w:pPr>
      <w:r>
        <w:rPr>
          <w:rFonts w:ascii="Times New Roman" w:hAnsi="Times New Roman"/>
          <w:b w:val="false"/>
          <w:bCs w:val="false"/>
          <w:i w:val="false"/>
          <w:iCs w:val="false"/>
          <w:sz w:val="24"/>
          <w:szCs w:val="24"/>
        </w:rPr>
        <w:t>(3) Notice of a real or apprehended dispute must be provided within thirty (30) days of the party becoming aware of the real or apprehended dispute.</w:t>
      </w:r>
    </w:p>
    <w:p>
      <w:pPr>
        <w:pStyle w:val="Normal"/>
        <w:widowControl w:val="false"/>
        <w:numPr>
          <w:ilvl w:val="0"/>
          <w:numId w:val="0"/>
        </w:numPr>
        <w:suppressAutoHyphens w:val="true"/>
        <w:bidi w:val="0"/>
        <w:spacing w:lineRule="auto" w:line="480" w:before="0" w:after="0"/>
        <w:ind w:hanging="0" w:start="340" w:end="0"/>
        <w:jc w:val="start"/>
        <w:rPr/>
      </w:pPr>
      <w:r>
        <w:rPr>
          <w:rFonts w:ascii="Times New Roman" w:hAnsi="Times New Roman"/>
          <w:b w:val="false"/>
          <w:bCs w:val="false"/>
          <w:i w:val="false"/>
          <w:iCs w:val="false"/>
          <w:sz w:val="24"/>
          <w:szCs w:val="24"/>
        </w:rPr>
        <w:t>(4) The parties must meet and undertake genuine and good faith negotiations with a review to resolving the matter within fifteen (15) days of the date of the notice of a matter in dispute.</w:t>
      </w:r>
    </w:p>
    <w:p>
      <w:pPr>
        <w:pStyle w:val="Normal"/>
        <w:widowControl w:val="false"/>
        <w:numPr>
          <w:ilvl w:val="0"/>
          <w:numId w:val="0"/>
        </w:numPr>
        <w:suppressAutoHyphens w:val="true"/>
        <w:bidi w:val="0"/>
        <w:spacing w:lineRule="auto" w:line="480" w:before="0" w:after="0"/>
        <w:ind w:hanging="0" w:start="340" w:end="0"/>
        <w:jc w:val="start"/>
        <w:rPr/>
      </w:pPr>
      <w:r>
        <w:rPr/>
        <w:t>(5) All resolutions negotiated between the parties must be reduced to writing, signed by the parties, and are deemed to be appended to each extant copy of this agreement.</w:t>
      </w:r>
    </w:p>
    <w:p>
      <w:pPr>
        <w:pStyle w:val="Normal"/>
        <w:numPr>
          <w:ilvl w:val="0"/>
          <w:numId w:val="2"/>
        </w:numPr>
        <w:bidi w:val="0"/>
        <w:spacing w:lineRule="auto" w:line="480" w:before="0" w:after="0"/>
        <w:ind w:hanging="340" w:start="340" w:end="0"/>
        <w:jc w:val="start"/>
        <w:rPr>
          <w:rFonts w:ascii="Times New Roman" w:hAnsi="Times New Roman"/>
          <w:b w:val="false"/>
          <w:bCs w:val="false"/>
          <w:i w:val="false"/>
          <w:iCs w:val="false"/>
          <w:sz w:val="24"/>
          <w:szCs w:val="24"/>
        </w:rPr>
      </w:pPr>
      <w:r>
        <w:rPr>
          <w:rFonts w:ascii="Times New Roman" w:hAnsi="Times New Roman"/>
          <w:b w:val="false"/>
          <w:bCs w:val="false"/>
          <w:i w:val="false"/>
          <w:iCs w:val="false"/>
          <w:sz w:val="24"/>
          <w:szCs w:val="24"/>
        </w:rPr>
        <w:t xml:space="preserve">(1) The parties may only resort to this section if they have first resorted to the procedure for negotiation detailed in section </w:t>
      </w:r>
      <w:r>
        <w:rPr>
          <w:rFonts w:ascii="Times New Roman" w:hAnsi="Times New Roman"/>
          <w:b w:val="false"/>
          <w:bCs w:val="false"/>
          <w:i w:val="false"/>
          <w:iCs w:val="false"/>
          <w:sz w:val="24"/>
          <w:szCs w:val="24"/>
        </w:rPr>
        <w:fldChar w:fldCharType="begin"/>
      </w:r>
      <w:r>
        <w:rPr>
          <w:rFonts w:ascii="Times New Roman" w:hAnsi="Times New Roman"/>
          <w:b w:val="false"/>
          <w:bCs w:val="false"/>
          <w:i w:val="false"/>
          <w:iCs w:val="false"/>
          <w:sz w:val="24"/>
          <w:szCs w:val="24"/>
        </w:rPr>
        <w:instrText xml:space="preserve"> REF __RefNumPara__5990_3947798210 \w \w \h </w:instrText>
      </w:r>
      <w:r>
        <w:rPr>
          <w:rFonts w:ascii="Times New Roman" w:hAnsi="Times New Roman"/>
          <w:b w:val="false"/>
          <w:bCs w:val="false"/>
          <w:i w:val="false"/>
          <w:iCs w:val="false"/>
          <w:sz w:val="24"/>
          <w:szCs w:val="24"/>
        </w:rPr>
        <w:fldChar w:fldCharType="separate"/>
      </w:r>
      <w:r>
        <w:rPr>
          <w:rFonts w:ascii="Times New Roman" w:hAnsi="Times New Roman"/>
          <w:b w:val="false"/>
          <w:bCs w:val="false"/>
          <w:i w:val="false"/>
          <w:iCs w:val="false"/>
          <w:sz w:val="24"/>
          <w:szCs w:val="24"/>
        </w:rPr>
        <w:t>11</w:t>
      </w:r>
      <w:r>
        <w:rPr>
          <w:rFonts w:ascii="Times New Roman" w:hAnsi="Times New Roman"/>
          <w:b w:val="false"/>
          <w:bCs w:val="false"/>
          <w:i w:val="false"/>
          <w:iCs w:val="false"/>
          <w:sz w:val="24"/>
          <w:szCs w:val="24"/>
        </w:rPr>
        <w:fldChar w:fldCharType="end"/>
      </w:r>
      <w:r>
        <w:rPr>
          <w:rFonts w:ascii="Times New Roman" w:hAnsi="Times New Roman"/>
          <w:b w:val="false"/>
          <w:bCs w:val="false"/>
          <w:i w:val="false"/>
          <w:iCs w:val="false"/>
          <w:sz w:val="24"/>
          <w:szCs w:val="24"/>
        </w:rPr>
        <w:t xml:space="preserve"> is a pre-condition to the dispute resolution procedure set out in this section. </w:t>
      </w:r>
    </w:p>
    <w:p>
      <w:pPr>
        <w:pStyle w:val="Normal"/>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 xml:space="preserve">(2) If any dispute arises between the parties, and the parties are unable to resolve the dispute through negotiation required by section </w:t>
      </w:r>
      <w:r>
        <w:rPr>
          <w:rFonts w:ascii="Times New Roman" w:hAnsi="Times New Roman"/>
          <w:b w:val="false"/>
          <w:bCs w:val="false"/>
          <w:i w:val="false"/>
          <w:iCs w:val="false"/>
          <w:sz w:val="24"/>
          <w:szCs w:val="24"/>
        </w:rPr>
        <w:fldChar w:fldCharType="begin"/>
      </w:r>
      <w:r>
        <w:rPr>
          <w:rFonts w:ascii="Times New Roman" w:hAnsi="Times New Roman"/>
          <w:b w:val="false"/>
          <w:bCs w:val="false"/>
          <w:i w:val="false"/>
          <w:iCs w:val="false"/>
          <w:sz w:val="24"/>
          <w:szCs w:val="24"/>
        </w:rPr>
        <w:instrText xml:space="preserve"> REF __RefNumPara__5990_3947798210 \w \w \h </w:instrText>
      </w:r>
      <w:r>
        <w:rPr>
          <w:rFonts w:ascii="Times New Roman" w:hAnsi="Times New Roman"/>
          <w:b w:val="false"/>
          <w:bCs w:val="false"/>
          <w:i w:val="false"/>
          <w:iCs w:val="false"/>
          <w:sz w:val="24"/>
          <w:szCs w:val="24"/>
        </w:rPr>
        <w:fldChar w:fldCharType="separate"/>
      </w:r>
      <w:r>
        <w:rPr>
          <w:rFonts w:ascii="Times New Roman" w:hAnsi="Times New Roman"/>
          <w:b w:val="false"/>
          <w:bCs w:val="false"/>
          <w:i w:val="false"/>
          <w:iCs w:val="false"/>
          <w:sz w:val="24"/>
          <w:szCs w:val="24"/>
        </w:rPr>
        <w:t>11</w:t>
      </w:r>
      <w:r>
        <w:rPr>
          <w:rFonts w:ascii="Times New Roman" w:hAnsi="Times New Roman"/>
          <w:b w:val="false"/>
          <w:bCs w:val="false"/>
          <w:i w:val="false"/>
          <w:iCs w:val="false"/>
          <w:sz w:val="24"/>
          <w:szCs w:val="24"/>
        </w:rPr>
        <w:fldChar w:fldCharType="end"/>
      </w:r>
      <w:r>
        <w:rPr>
          <w:rFonts w:ascii="Times New Roman" w:hAnsi="Times New Roman"/>
          <w:b w:val="false"/>
          <w:bCs w:val="false"/>
          <w:i w:val="false"/>
          <w:iCs w:val="false"/>
          <w:sz w:val="24"/>
          <w:szCs w:val="24"/>
        </w:rPr>
        <w:t xml:space="preserve">, the dispute must be resolved by binding arbitration before a sole arbitrator instituted pursuant to the </w:t>
      </w:r>
      <w:r>
        <w:rPr>
          <w:rFonts w:ascii="Times New Roman" w:hAnsi="Times New Roman"/>
          <w:b w:val="false"/>
          <w:bCs w:val="false"/>
          <w:i/>
          <w:iCs/>
          <w:sz w:val="24"/>
          <w:szCs w:val="24"/>
        </w:rPr>
        <w:t>Arbitration Act</w:t>
      </w:r>
      <w:r>
        <w:rPr>
          <w:rFonts w:ascii="Times New Roman" w:hAnsi="Times New Roman"/>
          <w:b w:val="false"/>
          <w:bCs w:val="false"/>
          <w:i w:val="false"/>
          <w:iCs w:val="false"/>
          <w:sz w:val="24"/>
          <w:szCs w:val="24"/>
        </w:rPr>
        <w:t xml:space="preserve">, </w:t>
      </w:r>
      <w:r>
        <w:rPr>
          <w:rFonts w:ascii="Times New Roman" w:hAnsi="Times New Roman"/>
          <w:b w:val="false"/>
          <w:bCs w:val="false"/>
          <w:i/>
          <w:iCs/>
          <w:sz w:val="24"/>
          <w:szCs w:val="24"/>
        </w:rPr>
        <w:t>1991</w:t>
      </w:r>
      <w:r>
        <w:rPr>
          <w:rFonts w:ascii="Times New Roman" w:hAnsi="Times New Roman"/>
          <w:b w:val="false"/>
          <w:bCs w:val="false"/>
          <w:i w:val="false"/>
          <w:iCs w:val="false"/>
          <w:sz w:val="24"/>
          <w:szCs w:val="24"/>
        </w:rPr>
        <w:t>, SO 1991, c 17, to the exclusion of the jurisdiction of any court, other than a court’s jurisdiction to assist the conducting of arbitrations, ensure that arbitrations are conducted in accordance with this agreement, to prevent unequal or unfair treatment of the parties, or to enforce an arbitrator’s award.</w:t>
      </w:r>
    </w:p>
    <w:p>
      <w:pPr>
        <w:pStyle w:val="Normal"/>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 xml:space="preserve">(3) </w:t>
      </w:r>
      <w:r>
        <w:rPr>
          <w:rFonts w:ascii="Times New Roman;serif" w:hAnsi="Times New Roman;serif"/>
          <w:b w:val="false"/>
          <w:bCs w:val="false"/>
          <w:i w:val="false"/>
          <w:iCs w:val="false"/>
          <w:sz w:val="24"/>
          <w:szCs w:val="24"/>
        </w:rPr>
        <w:t>The parties are bound by an arbitrator’s decision or award, and the parties may not appeal from the arbitrator’s decision or award on any ground, including on a question of law or a question of mixed fact and law.</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(4) T</w:t>
      </w:r>
      <w:r>
        <w:rPr>
          <w:rFonts w:ascii="Times New Roman;serif" w:hAnsi="Times New Roman;serif"/>
          <w:sz w:val="24"/>
        </w:rPr>
        <w:t>he parties may refer a matter to an arbitrator by delivering a written notice to arbitrate to the other party in which the facts that give rise to the dispute and the law on which the party commencing the arbitration relies is briefly set out.</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 xml:space="preserve">(5) </w:t>
      </w:r>
      <w:r>
        <w:rPr>
          <w:rFonts w:ascii="Times New Roman;serif" w:hAnsi="Times New Roman;serif"/>
          <w:sz w:val="24"/>
        </w:rPr>
        <w:t>Within fifteen days of the notice to arbitrate being transmitted, the parties will exchange shortlists comprised of the names of two arbitrators.</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 xml:space="preserve">(6) </w:t>
      </w:r>
      <w:r>
        <w:rPr>
          <w:rFonts w:ascii="Times New Roman;serif" w:hAnsi="Times New Roman;serif"/>
          <w:sz w:val="24"/>
        </w:rPr>
        <w:t>Within five days of the shortlists being exchanged, the parties will appoint one arbitrator from the lists of names so exchanged.</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 xml:space="preserve">(7) </w:t>
      </w:r>
      <w:r>
        <w:rPr>
          <w:rFonts w:ascii="Times New Roman;serif" w:hAnsi="Times New Roman;serif"/>
          <w:sz w:val="24"/>
        </w:rPr>
        <w:t>If the parties are not able to appoint an arbitrator after the twentieth day of the notice to arbitrate being transmitted, either of the parties may ask the Alternative Dispute Resolution Institute of Canada to appoint an arbitrator.</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 xml:space="preserve">(8) </w:t>
      </w:r>
      <w:r>
        <w:rPr>
          <w:rFonts w:ascii="Times New Roman;serif" w:hAnsi="Times New Roman;serif"/>
          <w:sz w:val="24"/>
        </w:rPr>
        <w:t xml:space="preserve">Any arbitrator appointed pursuant to this section must have experience with or training in </w:t>
      </w:r>
      <w:r>
        <w:rPr>
          <w:rFonts w:ascii="Times New Roman;serif" w:hAnsi="Times New Roman;serif"/>
          <w:sz w:val="24"/>
          <w:shd w:fill="FFFF00" w:val="clear"/>
        </w:rPr>
        <w:t>[]</w:t>
      </w:r>
      <w:r>
        <w:rPr>
          <w:rFonts w:ascii="Times New Roman;serif" w:hAnsi="Times New Roman;serif"/>
          <w:sz w:val="24"/>
        </w:rPr>
        <w:t>.</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 xml:space="preserve">(9) </w:t>
      </w:r>
      <w:r>
        <w:rPr>
          <w:rFonts w:ascii="Times New Roman;serif" w:hAnsi="Times New Roman;serif"/>
          <w:sz w:val="24"/>
        </w:rPr>
        <w:t>The language of the arbitration is English.</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 xml:space="preserve">(10) </w:t>
      </w:r>
      <w:r>
        <w:rPr>
          <w:rFonts w:ascii="Times New Roman;serif" w:hAnsi="Times New Roman;serif"/>
          <w:sz w:val="24"/>
        </w:rPr>
        <w:t xml:space="preserve">The arbitration must be conducted in the City of </w:t>
      </w:r>
      <w:r>
        <w:rPr>
          <w:rFonts w:ascii="Times New Roman;serif" w:hAnsi="Times New Roman;serif"/>
          <w:sz w:val="24"/>
          <w:shd w:fill="FFFF00" w:val="clear"/>
        </w:rPr>
        <w:t>[]</w:t>
      </w:r>
      <w:r>
        <w:rPr>
          <w:rFonts w:ascii="Times New Roman;serif" w:hAnsi="Times New Roman;serif"/>
          <w:sz w:val="24"/>
        </w:rPr>
        <w:t>.</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 xml:space="preserve">(11) </w:t>
      </w:r>
      <w:r>
        <w:rPr>
          <w:rFonts w:ascii="Times New Roman;serif" w:hAnsi="Times New Roman;serif"/>
          <w:sz w:val="24"/>
        </w:rPr>
        <w:t>The arbitrator will determine the most expedient and fair procedure for the arbitration and, where necessary due to the complexity of the arbitration, will apply the Alternative Dispute Resolution Institute of Canada’s rules for arbitration.</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 xml:space="preserve">(12) </w:t>
      </w:r>
      <w:r>
        <w:rPr>
          <w:rFonts w:ascii="Times New Roman;serif" w:hAnsi="Times New Roman;serif"/>
          <w:sz w:val="24"/>
        </w:rPr>
        <w:t>The arbitration, any procedure related to the arbitration, and all details regarding any matter that may or could be referred to an arbitrator pursuant to this agreement are, for the purposes of this agreement, confidential information.</w:t>
      </w:r>
    </w:p>
    <w:p>
      <w:pPr>
        <w:pStyle w:val="Normal"/>
        <w:widowControl w:val="false"/>
        <w:numPr>
          <w:ilvl w:val="0"/>
          <w:numId w:val="0"/>
        </w:numPr>
        <w:bidi w:val="0"/>
        <w:spacing w:lineRule="auto" w:line="480" w:before="0" w:after="0"/>
        <w:ind w:hanging="0" w:start="340" w:end="0"/>
        <w:jc w:val="start"/>
        <w:rPr/>
      </w:pPr>
      <w:r>
        <w:rPr>
          <w:rFonts w:ascii="Times New Roman" w:hAnsi="Times New Roman"/>
          <w:b w:val="false"/>
          <w:bCs w:val="false"/>
          <w:i w:val="false"/>
          <w:iCs w:val="false"/>
          <w:sz w:val="24"/>
          <w:szCs w:val="24"/>
        </w:rPr>
        <w:t xml:space="preserve">(13) </w:t>
      </w:r>
      <w:r>
        <w:rPr>
          <w:rFonts w:ascii="Times New Roman;serif" w:hAnsi="Times New Roman;serif"/>
          <w:sz w:val="24"/>
        </w:rPr>
        <w:t>This article survives the termination of this agreement and is deemed to apply to any dispute between the Parties with respect to a dispute even after termination of this agreement.</w:t>
      </w:r>
    </w:p>
    <w:p>
      <w:pPr>
        <w:pStyle w:val="Normal"/>
        <w:numPr>
          <w:ilvl w:val="0"/>
          <w:numId w:val="0"/>
        </w:numPr>
        <w:bidi w:val="0"/>
        <w:spacing w:lineRule="auto" w:line="480" w:before="0" w:after="0"/>
        <w:ind w:hanging="0" w:start="340" w:end="0"/>
        <w:jc w:val="start"/>
        <w:rPr>
          <w:rFonts w:ascii="Times New Roman;serif" w:hAnsi="Times New Roman;serif"/>
          <w:b w:val="false"/>
          <w:bCs w:val="false"/>
          <w:i w:val="false"/>
          <w:iCs w:val="false"/>
          <w:sz w:val="24"/>
          <w:szCs w:val="24"/>
        </w:rPr>
      </w:pPr>
      <w:bookmarkStart w:id="2" w:name="__DdeLink__1386_823416081"/>
      <w:r>
        <w:rPr>
          <w:rFonts w:ascii="Times New Roman;serif" w:hAnsi="Times New Roman;serif"/>
          <w:sz w:val="24"/>
          <w:szCs w:val="24"/>
        </w:rPr>
        <w:t>(14) Pre-judgment and post-judgment interest, whether awarded by an arbitrator or by a court, is fixed at two per-cent (2%) per annum for the duration of this agreement.</w:t>
      </w:r>
      <w:bookmarkEnd w:id="2"/>
    </w:p>
    <w:p>
      <w:pPr>
        <w:pStyle w:val="BodyText"/>
        <w:bidi w:val="0"/>
        <w:spacing w:lineRule="auto" w:line="480" w:before="0" w:after="0"/>
        <w:ind w:hanging="680" w:start="680" w:end="0"/>
        <w:jc w:val="start"/>
        <w:rPr/>
      </w:pPr>
      <w:r>
        <w:rPr>
          <w:rFonts w:ascii="Times New Roman" w:hAnsi="Times New Roman"/>
          <w:b/>
          <w:bCs/>
          <w:i w:val="false"/>
          <w:iCs w:val="false"/>
          <w:sz w:val="24"/>
          <w:szCs w:val="24"/>
        </w:rPr>
        <w:t xml:space="preserve">Part </w:t>
      </w:r>
      <w:r>
        <w:rPr>
          <w:rFonts w:ascii="Times New Roman" w:hAnsi="Times New Roman"/>
          <w:b/>
          <w:bCs/>
          <w:i w:val="false"/>
          <w:iCs w:val="false"/>
          <w:sz w:val="24"/>
          <w:szCs w:val="24"/>
        </w:rPr>
        <w:t>III</w:t>
      </w:r>
      <w:r>
        <w:rPr>
          <w:rFonts w:ascii="Times New Roman" w:hAnsi="Times New Roman"/>
          <w:b/>
          <w:bCs/>
          <w:i w:val="false"/>
          <w:iCs w:val="false"/>
          <w:sz w:val="24"/>
          <w:szCs w:val="24"/>
        </w:rPr>
        <w:t xml:space="preserve"> – Contract administration</w:t>
      </w:r>
    </w:p>
    <w:p>
      <w:pPr>
        <w:pStyle w:val="Normal"/>
        <w:widowControl w:val="false"/>
        <w:numPr>
          <w:ilvl w:val="0"/>
          <w:numId w:val="2"/>
        </w:numPr>
        <w:bidi w:val="0"/>
        <w:spacing w:lineRule="auto" w:line="480" w:before="0" w:after="0"/>
        <w:ind w:hanging="340" w:start="340" w:end="0"/>
        <w:jc w:val="start"/>
        <w:rPr>
          <w:b w:val="false"/>
          <w:bCs w:val="false"/>
          <w:i w:val="false"/>
          <w:iCs w:val="false"/>
        </w:rPr>
      </w:pPr>
      <w:r>
        <w:rPr>
          <w:b w:val="false"/>
          <w:bCs w:val="false"/>
          <w:i w:val="false"/>
          <w:iCs w:val="false"/>
        </w:rPr>
        <w:t>In this part,</w:t>
      </w:r>
    </w:p>
    <w:p>
      <w:pPr>
        <w:pStyle w:val="Normal"/>
        <w:widowControl w:val="false"/>
        <w:bidi w:val="0"/>
        <w:spacing w:lineRule="auto" w:line="480" w:before="0" w:after="0"/>
        <w:ind w:hanging="340" w:start="340" w:end="0"/>
        <w:jc w:val="start"/>
        <w:rPr>
          <w:shd w:fill="auto" w:val="clear"/>
        </w:rPr>
      </w:pPr>
      <w:r>
        <w:rPr>
          <w:shd w:fill="auto" w:val="clear"/>
        </w:rPr>
        <w:t>‘</w:t>
      </w:r>
      <w:r>
        <w:rPr>
          <w:shd w:fill="auto" w:val="clear"/>
        </w:rPr>
        <w:t>dispute’ means any matter regarding the administration of this agreement or of the limited partnership not provided for in this agreement or a disagreement between the parties with respect to discrepancies, issues, disputes, harm, loss, injury, action, a claim, and/or a potential claim that come into existence as a result of or in connection with this agreement.</w:t>
      </w:r>
    </w:p>
    <w:p>
      <w:pPr>
        <w:pStyle w:val="BodyText"/>
        <w:bidi w:val="0"/>
        <w:spacing w:lineRule="auto" w:line="480" w:before="0" w:after="0"/>
        <w:ind w:hanging="680" w:start="680" w:end="0"/>
        <w:jc w:val="start"/>
        <w:rPr/>
      </w:pPr>
      <w:r>
        <w:rPr>
          <w:rFonts w:ascii="Times New Roman" w:hAnsi="Times New Roman"/>
          <w:i/>
          <w:iCs/>
          <w:sz w:val="24"/>
          <w:szCs w:val="24"/>
        </w:rPr>
        <w:t>Entire agreement</w:t>
      </w:r>
    </w:p>
    <w:p>
      <w:pPr>
        <w:pStyle w:val="Normal"/>
        <w:numPr>
          <w:ilvl w:val="0"/>
          <w:numId w:val="2"/>
        </w:numPr>
        <w:bidi w:val="0"/>
        <w:spacing w:lineRule="auto" w:line="480" w:before="0" w:after="0"/>
        <w:ind w:hanging="340" w:start="340" w:end="0"/>
        <w:jc w:val="start"/>
        <w:rPr>
          <w:rFonts w:ascii="Times New Roman" w:hAnsi="Times New Roman"/>
          <w:b w:val="false"/>
          <w:bCs w:val="false"/>
          <w:i w:val="false"/>
          <w:iCs w:val="false"/>
          <w:sz w:val="24"/>
          <w:szCs w:val="24"/>
        </w:rPr>
      </w:pPr>
      <w:r>
        <w:rPr>
          <w:rFonts w:ascii="Times New Roman" w:hAnsi="Times New Roman"/>
          <w:b w:val="false"/>
          <w:bCs w:val="false"/>
          <w:i w:val="false"/>
          <w:iCs w:val="false"/>
          <w:sz w:val="24"/>
          <w:szCs w:val="24"/>
        </w:rPr>
        <w:t>This agreement is the entire agreement between the parties and no prior oral or written representation survives the execution of this agreement.</w:t>
      </w:r>
    </w:p>
    <w:p>
      <w:pPr>
        <w:pStyle w:val="Normal"/>
        <w:numPr>
          <w:ilvl w:val="0"/>
          <w:numId w:val="2"/>
        </w:numPr>
        <w:bidi w:val="0"/>
        <w:spacing w:lineRule="auto" w:line="480" w:before="0" w:after="0"/>
        <w:ind w:hanging="340" w:start="340" w:end="0"/>
        <w:jc w:val="start"/>
        <w:rPr/>
      </w:pPr>
      <w:r>
        <w:rPr>
          <w:rFonts w:ascii="Times New Roman" w:hAnsi="Times New Roman"/>
          <w:b w:val="false"/>
          <w:bCs w:val="false"/>
          <w:i w:val="false"/>
          <w:iCs w:val="false"/>
          <w:sz w:val="24"/>
          <w:szCs w:val="24"/>
        </w:rPr>
        <w:t>No waiver of any term in this agreement or breach of this agreement is binding unless it is reduced to writing and signed by both of the parties.</w:t>
      </w:r>
    </w:p>
    <w:p>
      <w:pPr>
        <w:pStyle w:val="Normal"/>
        <w:numPr>
          <w:ilvl w:val="0"/>
          <w:numId w:val="2"/>
        </w:numPr>
        <w:bidi w:val="0"/>
        <w:spacing w:lineRule="auto" w:line="480" w:before="0" w:after="0"/>
        <w:ind w:hanging="340" w:start="340" w:end="0"/>
        <w:jc w:val="start"/>
        <w:rPr/>
      </w:pPr>
      <w:r>
        <w:rPr>
          <w:rFonts w:ascii="Times New Roman" w:hAnsi="Times New Roman"/>
          <w:b w:val="false"/>
          <w:bCs w:val="false"/>
          <w:i w:val="false"/>
          <w:iCs w:val="false"/>
          <w:sz w:val="24"/>
          <w:szCs w:val="24"/>
        </w:rPr>
        <w:t>Any waiver of this agreement is, unless otherwise specified, limited to the specific term or breach waived.</w:t>
      </w:r>
    </w:p>
    <w:p>
      <w:pPr>
        <w:pStyle w:val="BodyText"/>
        <w:bidi w:val="0"/>
        <w:spacing w:lineRule="auto" w:line="480" w:before="0" w:after="0"/>
        <w:ind w:hanging="397" w:start="397" w:end="0"/>
        <w:jc w:val="start"/>
        <w:rPr/>
      </w:pPr>
      <w:r>
        <w:rPr>
          <w:i/>
          <w:iCs/>
        </w:rPr>
        <w:t>Severability</w:t>
      </w:r>
    </w:p>
    <w:p>
      <w:pPr>
        <w:pStyle w:val="Normal"/>
        <w:numPr>
          <w:ilvl w:val="0"/>
          <w:numId w:val="2"/>
        </w:numPr>
        <w:bidi w:val="0"/>
        <w:spacing w:lineRule="auto" w:line="480" w:before="0" w:after="0"/>
        <w:ind w:hanging="340" w:start="340" w:end="0"/>
        <w:jc w:val="start"/>
        <w:rPr/>
      </w:pPr>
      <w:r>
        <w:rPr>
          <w:rFonts w:ascii="Times New Roman" w:hAnsi="Times New Roman"/>
          <w:b w:val="false"/>
          <w:bCs w:val="false"/>
          <w:i w:val="false"/>
          <w:iCs w:val="false"/>
          <w:sz w:val="24"/>
          <w:szCs w:val="24"/>
        </w:rPr>
        <w:t>If any term of this agreement is found to be invalid or unenforceable at law, the validity or enforceability of any other provision will not be affected and continues to bind the parties.</w:t>
      </w:r>
    </w:p>
    <w:p>
      <w:pPr>
        <w:pStyle w:val="BodyText"/>
        <w:bidi w:val="0"/>
        <w:spacing w:lineRule="auto" w:line="480" w:before="0" w:after="0"/>
        <w:ind w:hanging="397" w:start="397" w:end="0"/>
        <w:jc w:val="start"/>
        <w:rPr/>
      </w:pPr>
      <w:r>
        <w:rPr>
          <w:i/>
          <w:iCs/>
        </w:rPr>
        <w:t>Amendment</w:t>
      </w:r>
    </w:p>
    <w:p>
      <w:pPr>
        <w:pStyle w:val="Normal"/>
        <w:numPr>
          <w:ilvl w:val="0"/>
          <w:numId w:val="2"/>
        </w:numPr>
        <w:bidi w:val="0"/>
        <w:spacing w:lineRule="auto" w:line="480" w:before="0" w:after="0"/>
        <w:ind w:hanging="340" w:start="340" w:end="0"/>
        <w:jc w:val="start"/>
        <w:rPr/>
      </w:pPr>
      <w:r>
        <w:rPr>
          <w:rFonts w:ascii="Times New Roman" w:hAnsi="Times New Roman"/>
          <w:b w:val="false"/>
          <w:bCs w:val="false"/>
          <w:i w:val="false"/>
          <w:iCs w:val="false"/>
          <w:sz w:val="24"/>
          <w:szCs w:val="24"/>
        </w:rPr>
        <w:t>This agreement is amended when the parties provide their written consent to the text of an amendment, whereupon the text of the amendment will be scheduled to all copies of this agreement.</w:t>
      </w:r>
    </w:p>
    <w:p>
      <w:pPr>
        <w:pStyle w:val="Normal"/>
        <w:bidi w:val="0"/>
        <w:spacing w:lineRule="auto" w:line="480" w:before="0" w:after="0"/>
        <w:ind w:hanging="340" w:start="340" w:end="0"/>
        <w:jc w:val="start"/>
        <w:rPr/>
      </w:pPr>
      <w:r>
        <w:rPr>
          <w:rFonts w:ascii="Times New Roman" w:hAnsi="Times New Roman"/>
          <w:b w:val="false"/>
          <w:bCs w:val="false"/>
          <w:i/>
          <w:iCs/>
          <w:sz w:val="24"/>
          <w:szCs w:val="24"/>
        </w:rPr>
        <w:t>Termination</w:t>
      </w:r>
    </w:p>
    <w:p>
      <w:pPr>
        <w:pStyle w:val="Normal"/>
        <w:numPr>
          <w:ilvl w:val="0"/>
          <w:numId w:val="2"/>
        </w:numPr>
        <w:bidi w:val="0"/>
        <w:spacing w:lineRule="auto" w:line="480" w:before="0" w:after="0"/>
        <w:ind w:hanging="340" w:start="340" w:end="0"/>
        <w:jc w:val="start"/>
        <w:rPr/>
      </w:pPr>
      <w:r>
        <w:rPr>
          <w:rFonts w:ascii="Times New Roman" w:hAnsi="Times New Roman"/>
          <w:b w:val="false"/>
          <w:bCs w:val="false"/>
          <w:i w:val="false"/>
          <w:iCs w:val="false"/>
          <w:sz w:val="24"/>
          <w:szCs w:val="24"/>
        </w:rPr>
        <w:t>This agreement may be terminated at any time with the parties’ mutual consent.</w:t>
      </w:r>
    </w:p>
    <w:p>
      <w:pPr>
        <w:pStyle w:val="BodyText"/>
        <w:bidi w:val="0"/>
        <w:spacing w:lineRule="auto" w:line="480" w:before="0" w:after="0"/>
        <w:ind w:hanging="397" w:start="397" w:end="0"/>
        <w:jc w:val="start"/>
        <w:rPr/>
      </w:pPr>
      <w:r>
        <w:rPr>
          <w:rFonts w:ascii="Times New Roman" w:hAnsi="Times New Roman"/>
          <w:b w:val="false"/>
          <w:bCs w:val="false"/>
          <w:i/>
          <w:iCs/>
          <w:szCs w:val="24"/>
        </w:rPr>
        <w:t>Counterparts</w:t>
      </w:r>
    </w:p>
    <w:p>
      <w:pPr>
        <w:pStyle w:val="Normal"/>
        <w:numPr>
          <w:ilvl w:val="0"/>
          <w:numId w:val="2"/>
        </w:numPr>
        <w:bidi w:val="0"/>
        <w:spacing w:lineRule="auto" w:line="480" w:before="0" w:after="0"/>
        <w:ind w:hanging="340" w:start="340" w:end="0"/>
        <w:jc w:val="start"/>
        <w:rPr>
          <w:rFonts w:ascii="Times New Roman" w:hAnsi="Times New Roman"/>
          <w:sz w:val="24"/>
          <w:szCs w:val="24"/>
        </w:rPr>
      </w:pPr>
      <w:r>
        <w:rPr>
          <w:rFonts w:ascii="Times New Roman" w:hAnsi="Times New Roman"/>
          <w:sz w:val="24"/>
          <w:szCs w:val="24"/>
        </w:rPr>
        <w:t>This agreement and any amendments hereto may be executed in one or more counterparts, each of which is deemed to be an original, and all of which together constitute one and the same agreement.</w:t>
      </w:r>
    </w:p>
    <w:p>
      <w:pPr>
        <w:pStyle w:val="Normal"/>
        <w:bidi w:val="0"/>
        <w:spacing w:lineRule="auto" w:line="480" w:before="0" w:after="0"/>
        <w:ind w:hanging="340" w:start="340" w:end="0"/>
        <w:jc w:val="start"/>
        <w:rPr>
          <w:rFonts w:ascii="Times New Roman" w:hAnsi="Times New Roman"/>
          <w:sz w:val="24"/>
          <w:szCs w:val="24"/>
        </w:rPr>
      </w:pPr>
      <w:r>
        <w:rPr>
          <w:rFonts w:ascii="Times New Roman" w:hAnsi="Times New Roman"/>
          <w:sz w:val="24"/>
          <w:szCs w:val="24"/>
        </w:rPr>
      </w:r>
    </w:p>
    <w:p>
      <w:pPr>
        <w:pStyle w:val="Normal"/>
        <w:bidi w:val="0"/>
        <w:jc w:val="start"/>
        <w:rPr>
          <w:b/>
          <w:bCs/>
          <w:i w:val="false"/>
          <w:iCs w:val="false"/>
        </w:rPr>
      </w:pPr>
      <w:r>
        <w:rPr>
          <w:b/>
          <w:bCs/>
          <w:i w:val="false"/>
          <w:iCs w:val="false"/>
        </w:rPr>
        <w:t xml:space="preserve">IN WITNESS WHEREOF </w:t>
      </w:r>
      <w:r>
        <w:rPr>
          <w:b w:val="false"/>
          <w:bCs w:val="false"/>
          <w:i w:val="false"/>
          <w:iCs w:val="false"/>
        </w:rPr>
        <w:t>the parties subscribe to and covenant to abide by the terms set forth in this agreement in their proper hands or by their corporate seals, as the case may be, in the Province of Ontario.</w:t>
      </w:r>
    </w:p>
    <w:p>
      <w:pPr>
        <w:pStyle w:val="Normal"/>
        <w:bidi w:val="0"/>
        <w:jc w:val="start"/>
        <w:rPr>
          <w:b w:val="false"/>
          <w:bCs w:val="false"/>
          <w:i w:val="false"/>
          <w:iCs w:val="false"/>
        </w:rPr>
      </w:pPr>
      <w:r>
        <w:rPr>
          <w:b w:val="false"/>
          <w:bCs w:val="false"/>
          <w:i w:val="false"/>
          <w:iCs w:val="false"/>
        </w:rPr>
      </w:r>
    </w:p>
    <w:tbl>
      <w:tblPr>
        <w:tblW w:w="5000" w:type="pct"/>
        <w:jc w:val="start"/>
        <w:tblInd w:w="0" w:type="dxa"/>
        <w:tblLayout w:type="fixed"/>
        <w:tblCellMar>
          <w:top w:w="0" w:type="dxa"/>
          <w:start w:w="0" w:type="dxa"/>
          <w:bottom w:w="0" w:type="dxa"/>
          <w:end w:w="0" w:type="dxa"/>
        </w:tblCellMar>
      </w:tblPr>
      <w:tblGrid>
        <w:gridCol w:w="4649"/>
        <w:gridCol w:w="280"/>
        <w:gridCol w:w="5043"/>
      </w:tblGrid>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rPr/>
            </w:pPr>
            <w:r>
              <w:rPr/>
            </w:r>
          </w:p>
        </w:tc>
      </w:tr>
      <w:tr>
        <w:trPr/>
        <w:tc>
          <w:tcPr>
            <w:tcW w:w="4649" w:type="dxa"/>
            <w:tcBorders/>
          </w:tcPr>
          <w:p>
            <w:pPr>
              <w:pStyle w:val="TableContents"/>
              <w:jc w:val="center"/>
              <w:rPr/>
            </w:pPr>
            <w:r>
              <w:rPr/>
              <w:t>DATE</w:t>
            </w:r>
          </w:p>
        </w:tc>
        <w:tc>
          <w:tcPr>
            <w:tcW w:w="280" w:type="dxa"/>
            <w:tcBorders/>
          </w:tcPr>
          <w:p>
            <w:pPr>
              <w:pStyle w:val="TableContents"/>
              <w:jc w:val="center"/>
              <w:rPr/>
            </w:pPr>
            <w:r>
              <w:rPr/>
              <w:t>)</w:t>
            </w:r>
          </w:p>
        </w:tc>
        <w:tc>
          <w:tcPr>
            <w:tcW w:w="5043" w:type="dxa"/>
            <w:tcBorders/>
          </w:tcPr>
          <w:p>
            <w:pPr>
              <w:pStyle w:val="TableContents"/>
              <w:rPr/>
            </w:pPr>
            <w: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rPr/>
            </w:pPr>
            <w: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t>[]</w:t>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rPr/>
            </w:pPr>
            <w:r>
              <w:rPr/>
            </w:r>
          </w:p>
        </w:tc>
      </w:tr>
      <w:tr>
        <w:trPr/>
        <w:tc>
          <w:tcPr>
            <w:tcW w:w="4649" w:type="dxa"/>
            <w:tcBorders/>
          </w:tcPr>
          <w:p>
            <w:pPr>
              <w:pStyle w:val="TableContents"/>
              <w:jc w:val="center"/>
              <w:rPr/>
            </w:pPr>
            <w:r>
              <w:rPr/>
              <w:t>DATE</w:t>
            </w:r>
          </w:p>
        </w:tc>
        <w:tc>
          <w:tcPr>
            <w:tcW w:w="280" w:type="dxa"/>
            <w:tcBorders/>
          </w:tcPr>
          <w:p>
            <w:pPr>
              <w:pStyle w:val="TableContents"/>
              <w:jc w:val="center"/>
              <w:rPr/>
            </w:pPr>
            <w:r>
              <w:rPr/>
              <w:t>)</w:t>
            </w:r>
          </w:p>
        </w:tc>
        <w:tc>
          <w:tcPr>
            <w:tcW w:w="5043" w:type="dxa"/>
            <w:tcBorders/>
          </w:tcPr>
          <w:p>
            <w:pPr>
              <w:pStyle w:val="TableContents"/>
              <w:rPr/>
            </w:pPr>
            <w: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rPr/>
            </w:pPr>
            <w: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t>[]</w:t>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rPr/>
            </w:pPr>
            <w:r>
              <w:rPr/>
            </w:r>
          </w:p>
        </w:tc>
      </w:tr>
      <w:tr>
        <w:trPr/>
        <w:tc>
          <w:tcPr>
            <w:tcW w:w="4649" w:type="dxa"/>
            <w:tcBorders/>
          </w:tcPr>
          <w:p>
            <w:pPr>
              <w:pStyle w:val="TableContents"/>
              <w:jc w:val="center"/>
              <w:rPr/>
            </w:pPr>
            <w:r>
              <w:rPr/>
              <w:t>DATE</w:t>
            </w:r>
          </w:p>
        </w:tc>
        <w:tc>
          <w:tcPr>
            <w:tcW w:w="280" w:type="dxa"/>
            <w:tcBorders/>
          </w:tcPr>
          <w:p>
            <w:pPr>
              <w:pStyle w:val="TableContents"/>
              <w:jc w:val="center"/>
              <w:rPr/>
            </w:pPr>
            <w:r>
              <w:rPr/>
              <w:t>)</w:t>
            </w:r>
          </w:p>
        </w:tc>
        <w:tc>
          <w:tcPr>
            <w:tcW w:w="5043" w:type="dxa"/>
            <w:tcBorders/>
          </w:tcPr>
          <w:p>
            <w:pPr>
              <w:pStyle w:val="TableContents"/>
              <w:rPr/>
            </w:pPr>
            <w: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rPr/>
            </w:pPr>
            <w: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t>[]</w:t>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vMerge w:val="restart"/>
            <w:tcBorders/>
          </w:tcPr>
          <w:p>
            <w:pPr>
              <w:pStyle w:val="TableContents"/>
              <w:jc w:val="center"/>
              <w:rPr>
                <w:highlight w:val="none"/>
                <w:shd w:fill="FFFF00" w:val="clear"/>
              </w:rPr>
            </w:pPr>
            <w:r>
              <w:rPr>
                <w:shd w:fill="FFFF00" w:val="clea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49" w:type="dxa"/>
            <w:tcBorders/>
          </w:tcPr>
          <w:p>
            <w:pPr>
              <w:pStyle w:val="TableContents"/>
              <w:jc w:val="center"/>
              <w:rPr/>
            </w:pPr>
            <w:r>
              <w:rPr/>
              <w:t>DATE</w:t>
            </w:r>
          </w:p>
        </w:tc>
        <w:tc>
          <w:tcPr>
            <w:tcW w:w="280"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49" w:type="dxa"/>
            <w:tcBorders/>
          </w:tcPr>
          <w:p>
            <w:pPr>
              <w:pStyle w:val="TableContents"/>
              <w:jc w:val="center"/>
              <w:rPr/>
            </w:pPr>
            <w:r>
              <w:rPr/>
            </w:r>
          </w:p>
        </w:tc>
        <w:tc>
          <w:tcPr>
            <w:tcW w:w="280"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t>[]</w:t>
            </w:r>
          </w:p>
        </w:tc>
      </w:tr>
    </w:tbl>
    <w:p>
      <w:pPr>
        <w:pStyle w:val="Normal"/>
        <w:bidi w:val="0"/>
        <w:jc w:val="start"/>
        <w:rPr>
          <w:b w:val="false"/>
          <w:bCs w:val="false"/>
          <w:i w:val="false"/>
          <w:iCs w:val="false"/>
        </w:rPr>
      </w:pPr>
      <w:r>
        <w:rPr>
          <w:b w:val="false"/>
          <w:bCs w:val="false"/>
          <w:i w:val="false"/>
          <w:iCs w:val="false"/>
        </w:rPr>
      </w:r>
    </w:p>
    <w:p>
      <w:pPr>
        <w:pStyle w:val="Normal"/>
        <w:widowControl/>
        <w:suppressAutoHyphens w:val="true"/>
        <w:bidi w:val="0"/>
        <w:spacing w:before="0" w:after="0"/>
        <w:ind w:hanging="0" w:start="567" w:end="0"/>
        <w:jc w:val="start"/>
        <w:rPr>
          <w:b w:val="false"/>
          <w:bCs w:val="false"/>
          <w:i w:val="false"/>
          <w:iCs w:val="false"/>
        </w:rPr>
      </w:pPr>
      <w:r>
        <w:rPr>
          <w:b w:val="false"/>
          <w:bCs w:val="false"/>
          <w:i w:val="false"/>
          <w:iCs w:val="false"/>
        </w:rPr>
      </w:r>
    </w:p>
    <w:p>
      <w:pPr>
        <w:pStyle w:val="Normal"/>
        <w:bidi w:val="0"/>
        <w:spacing w:lineRule="auto" w:line="480"/>
        <w:ind w:hanging="340" w:start="340" w:end="0"/>
        <w:jc w:val="start"/>
        <w:rPr>
          <w:b w:val="false"/>
          <w:bCs w:val="false"/>
          <w:i w:val="false"/>
          <w:iCs w:val="false"/>
        </w:rPr>
      </w:pPr>
      <w:r>
        <w:rPr>
          <w:b w:val="false"/>
          <w:bCs w:val="false"/>
          <w:i w:val="false"/>
          <w:iCs w:val="false"/>
        </w:rPr>
      </w:r>
    </w:p>
    <w:p>
      <w:pPr>
        <w:pStyle w:val="Normal"/>
        <w:bidi w:val="0"/>
        <w:spacing w:lineRule="auto" w:line="480"/>
        <w:ind w:hanging="340" w:start="340" w:end="0"/>
        <w:jc w:val="start"/>
        <w:rPr>
          <w:b w:val="false"/>
          <w:bCs w:val="false"/>
          <w:i w:val="false"/>
          <w:iCs w:val="false"/>
        </w:rPr>
      </w:pPr>
      <w:r>
        <w:rPr>
          <w:b w:val="false"/>
          <w:bCs w:val="false"/>
          <w:i w:val="false"/>
          <w:iCs w:val="false"/>
        </w:rPr>
      </w:r>
      <w:r>
        <w:br w:type="page"/>
      </w:r>
    </w:p>
    <w:p>
      <w:pPr>
        <w:pStyle w:val="Normal"/>
        <w:bidi w:val="0"/>
        <w:spacing w:before="0" w:after="0"/>
        <w:jc w:val="center"/>
        <w:rPr>
          <w:b/>
          <w:bCs/>
        </w:rPr>
      </w:pPr>
      <w:r>
        <w:rPr>
          <w:b/>
          <w:bCs/>
        </w:rPr>
        <w:t xml:space="preserve">AN AGREEMENT TO </w:t>
      </w:r>
      <w:r>
        <w:rPr>
          <w:b/>
          <w:bCs/>
          <w:shd w:fill="FFFF00" w:val="clear"/>
        </w:rPr>
        <w:t>[]</w:t>
      </w:r>
    </w:p>
    <w:p>
      <w:pPr>
        <w:pStyle w:val="Normal"/>
        <w:bidi w:val="0"/>
        <w:spacing w:lineRule="auto" w:line="480"/>
        <w:ind w:hanging="340" w:start="340" w:end="0"/>
        <w:jc w:val="center"/>
        <w:rPr>
          <w:b w:val="false"/>
          <w:bCs w:val="false"/>
          <w:i w:val="false"/>
          <w:iCs w:val="false"/>
        </w:rPr>
      </w:pPr>
      <w:r>
        <w:rPr>
          <w:b w:val="false"/>
          <w:bCs w:val="false"/>
          <w:i w:val="false"/>
          <w:iCs w:val="false"/>
        </w:rPr>
        <w:t xml:space="preserve">SCHEDULE </w:t>
      </w:r>
      <w:r>
        <w:rPr>
          <w:b w:val="false"/>
          <w:bCs w:val="false"/>
          <w:i w:val="false"/>
          <w:iCs w:val="false"/>
          <w:shd w:fill="FFFF00" w:val="clear"/>
        </w:rPr>
        <w:t>A</w:t>
      </w:r>
    </w:p>
    <w:p>
      <w:pPr>
        <w:pStyle w:val="Normal"/>
        <w:bidi w:val="0"/>
        <w:spacing w:before="0" w:after="0"/>
        <w:jc w:val="center"/>
        <w:rPr>
          <w:b w:val="false"/>
          <w:bCs w:val="false"/>
          <w:u w:val="single"/>
        </w:rPr>
      </w:pPr>
      <w:r>
        <w:rPr>
          <w:b w:val="false"/>
          <w:bCs w:val="false"/>
          <w:u w:val="single"/>
        </w:rPr>
        <w:t>Notice of dispute</w:t>
      </w:r>
    </w:p>
    <w:p>
      <w:pPr>
        <w:pStyle w:val="Normal"/>
        <w:bidi w:val="0"/>
        <w:spacing w:before="0" w:after="0"/>
        <w:jc w:val="center"/>
        <w:rPr>
          <w:b w:val="false"/>
          <w:bCs w:val="false"/>
          <w:u w:val="single"/>
        </w:rPr>
      </w:pPr>
      <w:r>
        <w:rPr>
          <w:b w:val="false"/>
          <w:bCs w:val="false"/>
          <w:u w:val="single"/>
        </w:rPr>
      </w:r>
    </w:p>
    <w:tbl>
      <w:tblPr>
        <w:tblW w:w="5000" w:type="pct"/>
        <w:jc w:val="start"/>
        <w:tblInd w:w="0" w:type="dxa"/>
        <w:tblLayout w:type="fixed"/>
        <w:tblCellMar>
          <w:top w:w="0" w:type="dxa"/>
          <w:start w:w="0" w:type="dxa"/>
          <w:bottom w:w="0" w:type="dxa"/>
          <w:end w:w="0" w:type="dxa"/>
        </w:tblCellMar>
      </w:tblPr>
      <w:tblGrid>
        <w:gridCol w:w="914"/>
        <w:gridCol w:w="9058"/>
      </w:tblGrid>
      <w:tr>
        <w:trPr/>
        <w:tc>
          <w:tcPr>
            <w:tcW w:w="914" w:type="dxa"/>
            <w:tcBorders/>
          </w:tcPr>
          <w:p>
            <w:pPr>
              <w:pStyle w:val="TableContents"/>
              <w:rPr/>
            </w:pPr>
            <w:r>
              <w:rPr/>
              <w:t>TO</w:t>
            </w:r>
          </w:p>
        </w:tc>
        <w:tc>
          <w:tcPr>
            <w:tcW w:w="9058" w:type="dxa"/>
            <w:tcBorders>
              <w:bottom w:val="single" w:sz="4" w:space="0" w:color="000000"/>
            </w:tcBorders>
            <w:tcMar>
              <w:top w:w="55" w:type="dxa"/>
              <w:start w:w="55" w:type="dxa"/>
              <w:bottom w:w="55" w:type="dxa"/>
              <w:end w:w="55" w:type="dxa"/>
            </w:tcMar>
          </w:tcPr>
          <w:p>
            <w:pPr>
              <w:pStyle w:val="TableContents"/>
              <w:rPr/>
            </w:pPr>
            <w:r>
              <w:rPr/>
            </w:r>
          </w:p>
        </w:tc>
      </w:tr>
      <w:tr>
        <w:trPr/>
        <w:tc>
          <w:tcPr>
            <w:tcW w:w="914" w:type="dxa"/>
            <w:tcBorders/>
          </w:tcPr>
          <w:p>
            <w:pPr>
              <w:pStyle w:val="TableContents"/>
              <w:rPr/>
            </w:pPr>
            <w:r>
              <w:rPr/>
              <w:t>FROM</w:t>
            </w:r>
          </w:p>
        </w:tc>
        <w:tc>
          <w:tcPr>
            <w:tcW w:w="9058" w:type="dxa"/>
            <w:tcBorders>
              <w:bottom w:val="single" w:sz="4" w:space="0" w:color="000000"/>
            </w:tcBorders>
            <w:tcMar>
              <w:top w:w="55" w:type="dxa"/>
              <w:start w:w="55" w:type="dxa"/>
              <w:bottom w:w="55" w:type="dxa"/>
              <w:end w:w="55" w:type="dxa"/>
            </w:tcMar>
          </w:tcPr>
          <w:p>
            <w:pPr>
              <w:pStyle w:val="TableContents"/>
              <w:rPr/>
            </w:pPr>
            <w:r>
              <w:rPr/>
            </w:r>
          </w:p>
        </w:tc>
      </w:tr>
      <w:tr>
        <w:trPr/>
        <w:tc>
          <w:tcPr>
            <w:tcW w:w="914" w:type="dxa"/>
            <w:tcBorders/>
          </w:tcPr>
          <w:p>
            <w:pPr>
              <w:pStyle w:val="TableContents"/>
              <w:rPr/>
            </w:pPr>
            <w:r>
              <w:rPr/>
              <w:t>DATE</w:t>
            </w:r>
          </w:p>
        </w:tc>
        <w:tc>
          <w:tcPr>
            <w:tcW w:w="9058" w:type="dxa"/>
            <w:tcBorders>
              <w:bottom w:val="single" w:sz="4" w:space="0" w:color="000000"/>
            </w:tcBorders>
            <w:tcMar>
              <w:top w:w="55" w:type="dxa"/>
              <w:start w:w="55" w:type="dxa"/>
              <w:bottom w:w="55" w:type="dxa"/>
              <w:end w:w="55" w:type="dxa"/>
            </w:tcMar>
          </w:tcPr>
          <w:p>
            <w:pPr>
              <w:pStyle w:val="TableContents"/>
              <w:rPr/>
            </w:pPr>
            <w:r>
              <w:rPr/>
            </w:r>
          </w:p>
        </w:tc>
      </w:tr>
    </w:tbl>
    <w:p>
      <w:pPr>
        <w:pStyle w:val="Normal"/>
        <w:bidi w:val="0"/>
        <w:spacing w:before="0" w:after="0"/>
        <w:jc w:val="start"/>
        <w:rPr>
          <w:b w:val="false"/>
          <w:bCs w:val="false"/>
        </w:rPr>
      </w:pPr>
      <w:r>
        <w:rPr>
          <w:b w:val="false"/>
          <w:bCs w:val="false"/>
        </w:rPr>
      </w:r>
    </w:p>
    <w:p>
      <w:pPr>
        <w:pStyle w:val="Normal"/>
        <w:bidi w:val="0"/>
        <w:spacing w:lineRule="auto" w:line="360" w:before="0" w:after="0"/>
        <w:jc w:val="start"/>
        <w:rPr>
          <w:b w:val="false"/>
          <w:bCs w:val="false"/>
          <w:u w:val="none"/>
        </w:rPr>
      </w:pPr>
      <w:r>
        <w:rPr>
          <w:b w:val="false"/>
          <w:bCs w:val="false"/>
          <w:u w:val="none"/>
        </w:rPr>
      </w:r>
    </w:p>
    <w:p>
      <w:pPr>
        <w:pStyle w:val="Normal"/>
        <w:bidi w:val="0"/>
        <w:spacing w:lineRule="auto" w:line="360" w:before="0" w:after="0"/>
        <w:jc w:val="start"/>
        <w:rPr>
          <w:b w:val="false"/>
          <w:bCs w:val="false"/>
          <w:u w:val="none"/>
        </w:rPr>
      </w:pPr>
      <w:r>
        <w:rPr>
          <w:b w:val="false"/>
          <w:bCs w:val="false"/>
          <w:u w:val="none"/>
        </w:rPr>
        <w:t xml:space="preserve">I believe that a genuine dispute has arisen among the parties to the </w:t>
      </w:r>
      <w:r>
        <w:rPr>
          <w:b w:val="false"/>
          <w:bCs w:val="false"/>
          <w:i w:val="false"/>
          <w:iCs w:val="false"/>
          <w:u w:val="none"/>
        </w:rPr>
        <w:t xml:space="preserve">Agreement to Establish a Limited Partnership dated </w:t>
      </w:r>
      <w:r>
        <w:rPr>
          <w:b w:val="false"/>
          <w:bCs w:val="false"/>
          <w:i w:val="false"/>
          <w:iCs w:val="false"/>
          <w:u w:val="none"/>
          <w:shd w:fill="FFFF00" w:val="clear"/>
        </w:rPr>
        <w:t>XXX</w:t>
      </w:r>
      <w:r>
        <w:rPr>
          <w:b w:val="false"/>
          <w:bCs w:val="false"/>
          <w:i w:val="false"/>
          <w:iCs w:val="false"/>
          <w:u w:val="none"/>
          <w:shd w:fill="auto" w:val="clear"/>
        </w:rPr>
        <w:t>. The details of the dispute are as follows:</w:t>
      </w:r>
    </w:p>
    <w:p>
      <w:pPr>
        <w:pStyle w:val="Normal"/>
        <w:bidi w:val="0"/>
        <w:spacing w:lineRule="auto" w:line="360" w:before="0" w:after="0"/>
        <w:jc w:val="start"/>
        <w:rPr>
          <w:b w:val="false"/>
          <w:bCs w:val="false"/>
          <w:u w:val="none"/>
        </w:rPr>
      </w:pPr>
      <w:r>
        <w:rPr>
          <w:b w:val="false"/>
          <w:bCs w:val="false"/>
          <w:i w:val="false"/>
          <w:iCs w:val="false"/>
          <w:u w:val="none"/>
          <w:shd w:fill="auto" w:val="cle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bidi w:val="0"/>
        <w:spacing w:lineRule="auto" w:line="360" w:before="0" w:after="0"/>
        <w:jc w:val="start"/>
        <w:rPr>
          <w:b w:val="false"/>
          <w:bCs w:val="false"/>
          <w:u w:val="none"/>
        </w:rPr>
      </w:pPr>
      <w:r>
        <w:rPr>
          <w:b w:val="false"/>
          <w:bCs w:val="false"/>
          <w:u w:val="none"/>
        </w:rPr>
      </w:r>
    </w:p>
    <w:p>
      <w:pPr>
        <w:pStyle w:val="Normal"/>
        <w:bidi w:val="0"/>
        <w:spacing w:lineRule="auto" w:line="360" w:before="0" w:after="0"/>
        <w:jc w:val="start"/>
        <w:rPr>
          <w:b w:val="false"/>
          <w:bCs w:val="false"/>
          <w:u w:val="none"/>
        </w:rPr>
      </w:pPr>
      <w:r>
        <w:rPr>
          <w:b w:val="false"/>
          <w:bCs w:val="false"/>
          <w:i w:val="false"/>
          <w:iCs w:val="false"/>
          <w:u w:val="none"/>
          <w:shd w:fill="auto" w:val="clear"/>
        </w:rPr>
        <w:t xml:space="preserve">Pursuant to section </w:t>
      </w:r>
      <w:r>
        <w:rPr>
          <w:b w:val="false"/>
          <w:bCs w:val="false"/>
          <w:i w:val="false"/>
          <w:iCs w:val="false"/>
          <w:u w:val="none"/>
          <w:shd w:fill="auto" w:val="clear"/>
        </w:rPr>
        <w:fldChar w:fldCharType="begin"/>
      </w:r>
      <w:r>
        <w:rPr>
          <w:b w:val="false"/>
          <w:bCs w:val="false"/>
          <w:i w:val="false"/>
          <w:iCs w:val="false"/>
          <w:u w:val="none"/>
          <w:shd w:fill="auto" w:val="clear"/>
        </w:rPr>
        <w:instrText xml:space="preserve"> REF __RefNumPara__5990_3947798210 \r \r \h </w:instrText>
      </w:r>
      <w:r>
        <w:rPr>
          <w:b w:val="false"/>
          <w:bCs w:val="false"/>
          <w:i w:val="false"/>
          <w:iCs w:val="false"/>
          <w:u w:val="none"/>
          <w:shd w:fill="auto" w:val="clear"/>
        </w:rPr>
        <w:fldChar w:fldCharType="separate"/>
      </w:r>
      <w:r>
        <w:rPr>
          <w:b w:val="false"/>
          <w:bCs w:val="false"/>
          <w:i w:val="false"/>
          <w:iCs w:val="false"/>
          <w:u w:val="none"/>
          <w:shd w:fill="auto" w:val="clear"/>
        </w:rPr>
        <w:t>11</w:t>
      </w:r>
      <w:r>
        <w:rPr>
          <w:b w:val="false"/>
          <w:bCs w:val="false"/>
          <w:i w:val="false"/>
          <w:iCs w:val="false"/>
          <w:u w:val="none"/>
          <w:shd w:fill="auto" w:val="clear"/>
        </w:rPr>
        <w:fldChar w:fldCharType="end"/>
      </w:r>
      <w:r>
        <w:rPr>
          <w:b w:val="false"/>
          <w:bCs w:val="false"/>
          <w:i w:val="false"/>
          <w:iCs w:val="false"/>
          <w:u w:val="none"/>
          <w:shd w:fill="auto" w:val="clear"/>
        </w:rPr>
        <w:t xml:space="preserve"> of the aforesaid agreement, the parties must meet within fifteen days of the date of this notice, being _____________________________, to engage in genuine and good faith negotiations to resolve this dispute.</w:t>
      </w:r>
    </w:p>
    <w:p>
      <w:pPr>
        <w:pStyle w:val="Normal"/>
        <w:bidi w:val="0"/>
        <w:spacing w:lineRule="auto" w:line="360" w:before="0" w:after="0"/>
        <w:jc w:val="start"/>
        <w:rPr>
          <w:b w:val="false"/>
          <w:bCs w:val="false"/>
        </w:rPr>
      </w:pPr>
      <w:r>
        <w:rPr>
          <w:b w:val="false"/>
          <w:bCs w:val="false"/>
        </w:rPr>
      </w:r>
    </w:p>
    <w:p>
      <w:pPr>
        <w:pStyle w:val="Normal"/>
        <w:bidi w:val="0"/>
        <w:spacing w:before="0" w:after="0"/>
        <w:jc w:val="start"/>
        <w:rPr>
          <w:b w:val="false"/>
          <w:bCs w:val="false"/>
        </w:rPr>
      </w:pPr>
      <w:r>
        <w:rPr/>
        <w:tab/>
        <w:tab/>
        <w:tab/>
        <w:tab/>
        <w:tab/>
        <w:tab/>
        <w:tab/>
        <w:tab/>
        <w:tab/>
        <w:t>_____________________________</w:t>
      </w:r>
    </w:p>
    <w:sectPr>
      <w:footerReference w:type="even" r:id="rId2"/>
      <w:footerReference w:type="default" r:id="rId3"/>
      <w:footerReference w:type="first" r:id="rId4"/>
      <w:type w:val="nextPage"/>
      <w:pgSz w:w="12240" w:h="15840"/>
      <w:pgMar w:left="1134" w:right="1134" w:gutter="0" w:header="0" w:top="1134" w:footer="1134" w:bottom="2521"/>
      <w:pgNumType w:fmt="upperRoman"/>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New Roman">
    <w:altName w:val="serif"/>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3" w:name="PageNumWizard_FOOTER_Default_Page_Style1"/>
    <w:r>
      <w:rPr/>
      <w:fldChar w:fldCharType="begin"/>
    </w:r>
    <w:r>
      <w:rPr/>
      <w:instrText xml:space="preserve"> PAGE </w:instrText>
    </w:r>
    <w:r>
      <w:rPr/>
      <w:fldChar w:fldCharType="separate"/>
    </w:r>
    <w:r>
      <w:rPr/>
      <w:t>IX</w:t>
    </w:r>
    <w:r>
      <w:rPr/>
      <w:fldChar w:fldCharType="end"/>
    </w:r>
    <w:bookmarkEnd w:id="3"/>
  </w:p>
  <w:p>
    <w:pPr>
      <w:pStyle w:val="Footer"/>
      <w:suppressLineNumbers/>
      <w:bidi w:val="0"/>
      <w:jc w:val="start"/>
      <w:rPr/>
    </w:pPr>
    <w:r>
      <w:rPr/>
    </w:r>
  </w:p>
  <w:p>
    <w:pPr>
      <w:pStyle w:val="Footer"/>
      <w:suppressLineNumbers/>
      <w:bidi w:val="0"/>
      <w:jc w:val="start"/>
      <w:rPr/>
    </w:pPr>
    <w:r>
      <w:rPr/>
      <w:t>___</w:t>
      <w:tab/>
      <w:t>___</w:t>
      <w:tab/>
      <w:t>___</w:t>
      <w:tab/>
      <w:t>___</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4" w:name="PageNumWizard_FOOTER_Default_Page_Style1"/>
    <w:r>
      <w:rPr/>
      <w:fldChar w:fldCharType="begin"/>
    </w:r>
    <w:r>
      <w:rPr/>
      <w:instrText xml:space="preserve"> PAGE </w:instrText>
    </w:r>
    <w:r>
      <w:rPr/>
      <w:fldChar w:fldCharType="separate"/>
    </w:r>
    <w:r>
      <w:rPr/>
      <w:t>IX</w:t>
    </w:r>
    <w:r>
      <w:rPr/>
      <w:fldChar w:fldCharType="end"/>
    </w:r>
    <w:bookmarkEnd w:id="4"/>
  </w:p>
  <w:p>
    <w:pPr>
      <w:pStyle w:val="Footer"/>
      <w:suppressLineNumbers/>
      <w:bidi w:val="0"/>
      <w:jc w:val="start"/>
      <w:rPr/>
    </w:pPr>
    <w:r>
      <w:rPr/>
    </w:r>
  </w:p>
  <w:p>
    <w:pPr>
      <w:pStyle w:val="Footer"/>
      <w:suppressLineNumbers/>
      <w:bidi w:val="0"/>
      <w:jc w:val="start"/>
      <w:rPr/>
    </w:pPr>
    <w:r>
      <w:rPr/>
      <w:t>___</w:t>
      <w:tab/>
      <w:t>___</w:t>
      <w:tab/>
      <w:t>___</w:t>
      <w:tab/>
      <w:t>___</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3"/>
        </w:tabs>
        <w:ind w:start="363" w:hanging="363"/>
      </w:pPr>
      <w:rPr/>
    </w:lvl>
    <w:lvl w:ilvl="1">
      <w:start w:val="1"/>
      <w:numFmt w:val="lowerLetter"/>
      <w:lvlText w:val="%2."/>
      <w:lvlJc w:val="start"/>
      <w:pPr>
        <w:tabs>
          <w:tab w:val="num" w:pos="720"/>
        </w:tabs>
        <w:ind w:start="720" w:hanging="357"/>
      </w:pPr>
      <w:rPr/>
    </w:lvl>
    <w:lvl w:ilvl="2">
      <w:start w:val="1"/>
      <w:numFmt w:val="lowerRoman"/>
      <w:lvlText w:val="%3."/>
      <w:lvlJc w:val="start"/>
      <w:pPr>
        <w:tabs>
          <w:tab w:val="num" w:pos="1083"/>
        </w:tabs>
        <w:ind w:start="1083" w:hanging="363"/>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lowerLetter"/>
      <w:lvlText w:val="%1."/>
      <w:lvlJc w:val="start"/>
      <w:pPr>
        <w:tabs>
          <w:tab w:val="num" w:pos="1083"/>
        </w:tabs>
        <w:ind w:start="1083" w:hanging="363"/>
      </w:pPr>
      <w:rPr/>
    </w:lvl>
    <w:lvl w:ilvl="1">
      <w:start w:val="1"/>
      <w:numFmt w:val="decimal"/>
      <w:lvlText w:val="%2."/>
      <w:lvlJc w:val="start"/>
      <w:pPr>
        <w:tabs>
          <w:tab w:val="num" w:pos="1760"/>
        </w:tabs>
        <w:ind w:start="1760" w:hanging="360"/>
      </w:pPr>
      <w:rPr/>
    </w:lvl>
    <w:lvl w:ilvl="2">
      <w:start w:val="1"/>
      <w:numFmt w:val="decimal"/>
      <w:lvlText w:val="%3."/>
      <w:lvlJc w:val="start"/>
      <w:pPr>
        <w:tabs>
          <w:tab w:val="num" w:pos="2120"/>
        </w:tabs>
        <w:ind w:start="2120" w:hanging="360"/>
      </w:pPr>
      <w:rPr/>
    </w:lvl>
    <w:lvl w:ilvl="3">
      <w:start w:val="1"/>
      <w:numFmt w:val="decimal"/>
      <w:lvlText w:val="%4."/>
      <w:lvlJc w:val="start"/>
      <w:pPr>
        <w:tabs>
          <w:tab w:val="num" w:pos="2480"/>
        </w:tabs>
        <w:ind w:start="2480" w:hanging="360"/>
      </w:pPr>
      <w:rPr/>
    </w:lvl>
    <w:lvl w:ilvl="4">
      <w:start w:val="1"/>
      <w:numFmt w:val="decimal"/>
      <w:lvlText w:val="%5."/>
      <w:lvlJc w:val="start"/>
      <w:pPr>
        <w:tabs>
          <w:tab w:val="num" w:pos="2840"/>
        </w:tabs>
        <w:ind w:start="2840" w:hanging="360"/>
      </w:pPr>
      <w:rPr/>
    </w:lvl>
    <w:lvl w:ilvl="5">
      <w:start w:val="1"/>
      <w:numFmt w:val="decimal"/>
      <w:lvlText w:val="%6."/>
      <w:lvlJc w:val="start"/>
      <w:pPr>
        <w:tabs>
          <w:tab w:val="num" w:pos="3200"/>
        </w:tabs>
        <w:ind w:start="3200" w:hanging="360"/>
      </w:pPr>
      <w:rPr/>
    </w:lvl>
    <w:lvl w:ilvl="6">
      <w:start w:val="1"/>
      <w:numFmt w:val="decimal"/>
      <w:lvlText w:val="%7."/>
      <w:lvlJc w:val="start"/>
      <w:pPr>
        <w:tabs>
          <w:tab w:val="num" w:pos="3560"/>
        </w:tabs>
        <w:ind w:start="3560" w:hanging="360"/>
      </w:pPr>
      <w:rPr/>
    </w:lvl>
    <w:lvl w:ilvl="7">
      <w:start w:val="1"/>
      <w:numFmt w:val="decimal"/>
      <w:lvlText w:val="%8."/>
      <w:lvlJc w:val="start"/>
      <w:pPr>
        <w:tabs>
          <w:tab w:val="num" w:pos="3920"/>
        </w:tabs>
        <w:ind w:start="3920" w:hanging="360"/>
      </w:pPr>
      <w:rPr/>
    </w:lvl>
    <w:lvl w:ilvl="8">
      <w:start w:val="1"/>
      <w:numFmt w:val="decimal"/>
      <w:lvlText w:val="%9."/>
      <w:lvlJc w:val="start"/>
      <w:pPr>
        <w:tabs>
          <w:tab w:val="num" w:pos="4280"/>
        </w:tabs>
        <w:ind w:start="42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Lohit Devanagari"/>
      <w:color w:val="auto"/>
      <w:kern w:val="2"/>
      <w:sz w:val="24"/>
      <w:szCs w:val="24"/>
      <w:lang w:val="en-CA" w:eastAsia="zh-CN" w:bidi="hi-IN"/>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erif" w:hAnsi="Liberation Serif"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36</TotalTime>
  <Application>LibreOffice/25.8.5.2$Linux_X86_64 LibreOffice_project/580$Build-2</Application>
  <AppVersion>15.0000</AppVersion>
  <Pages>9</Pages>
  <Words>1746</Words>
  <Characters>9740</Characters>
  <CharactersWithSpaces>11350</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2025-07-22T23:38:36Z</dcterms:created>
  <dc:creator>Adam Strömbergsson-DeNora</dc:creator>
  <dc:description/>
  <dc:language>en-CA</dc:language>
  <cp:lastModifiedBy/>
  <dcterms:modified xsi:type="dcterms:W3CDTF">2026-04-14T13:29:29Z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