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center" w:pos="4680" w:leader="none"/>
        </w:tabs>
        <w:jc w:val="center"/>
        <w:rPr>
          <w:rFonts w:ascii="Times New Roman" w:hAnsi="Times New Roman"/>
          <w:sz w:val="24"/>
          <w:szCs w:val="24"/>
        </w:rPr>
      </w:pPr>
      <w:r>
        <w:rPr>
          <w:rFonts w:cs="Arial"/>
          <w:b/>
          <w:sz w:val="24"/>
          <w:szCs w:val="24"/>
        </w:rPr>
        <w:t>RESOLUTIONS OF THE DIRECTORS OF</w:t>
      </w:r>
    </w:p>
    <w:p>
      <w:pPr>
        <w:pStyle w:val="Normal"/>
        <w:jc w:val="both"/>
        <w:rPr>
          <w:rFonts w:ascii="Times New Roman" w:hAnsi="Times New Roman" w:cs="Arial"/>
          <w:b/>
          <w:sz w:val="24"/>
          <w:szCs w:val="24"/>
        </w:rPr>
      </w:pPr>
      <w:r>
        <w:rPr>
          <w:rFonts w:cs="Arial"/>
          <w:b/>
          <w:sz w:val="24"/>
          <w:szCs w:val="24"/>
        </w:rPr>
      </w:r>
    </w:p>
    <w:p>
      <w:pPr>
        <w:pStyle w:val="Normal"/>
        <w:jc w:val="center"/>
        <w:rPr>
          <w:rFonts w:ascii="Times New Roman" w:hAnsi="Times New Roman"/>
          <w:sz w:val="24"/>
          <w:szCs w:val="24"/>
        </w:rPr>
      </w:pPr>
      <w:r>
        <w:rPr>
          <w:rFonts w:cs="Arial"/>
          <w:b/>
          <w:sz w:val="24"/>
          <w:szCs w:val="24"/>
          <w:shd w:fill="FFFF00" w:val="clear"/>
        </w:rPr>
        <w:t>[]</w:t>
      </w:r>
      <w:r>
        <w:rPr>
          <w:rFonts w:cs="Arial"/>
          <w:b/>
          <w:sz w:val="24"/>
          <w:szCs w:val="24"/>
        </w:rPr>
        <w:t xml:space="preserve"> INC.</w:t>
      </w:r>
    </w:p>
    <w:p>
      <w:pPr>
        <w:pStyle w:val="Normal"/>
        <w:jc w:val="both"/>
        <w:rPr>
          <w:rFonts w:ascii="Times New Roman" w:hAnsi="Times New Roman" w:cs="Arial"/>
          <w:sz w:val="24"/>
          <w:szCs w:val="24"/>
        </w:rPr>
      </w:pPr>
      <w:r>
        <w:rPr>
          <w:rFonts w:cs="Arial"/>
          <w:sz w:val="24"/>
          <w:szCs w:val="24"/>
        </w:rPr>
      </w:r>
    </w:p>
    <w:p>
      <w:pPr>
        <w:pStyle w:val="Normal"/>
        <w:tabs>
          <w:tab w:val="clear" w:pos="720"/>
          <w:tab w:val="center" w:pos="4680" w:leader="none"/>
          <w:tab w:val="left" w:pos="5040" w:leader="none"/>
          <w:tab w:val="left" w:pos="5760" w:leader="none"/>
          <w:tab w:val="left" w:pos="6480" w:leader="none"/>
          <w:tab w:val="left" w:pos="7200" w:leader="none"/>
          <w:tab w:val="left" w:pos="7920" w:leader="none"/>
          <w:tab w:val="left" w:pos="8640" w:leader="none"/>
          <w:tab w:val="left" w:pos="9360" w:leader="none"/>
        </w:tabs>
        <w:jc w:val="both"/>
        <w:rPr>
          <w:rFonts w:ascii="Times New Roman" w:hAnsi="Times New Roman"/>
          <w:sz w:val="24"/>
          <w:szCs w:val="24"/>
        </w:rPr>
      </w:pPr>
      <w:r>
        <w:rPr>
          <w:rFonts w:cs="Arial"/>
          <w:b/>
          <w:sz w:val="24"/>
          <w:szCs w:val="24"/>
        </w:rPr>
        <w:tab/>
      </w:r>
      <w:r>
        <w:rPr>
          <w:rFonts w:cs="Arial"/>
          <w:sz w:val="24"/>
          <w:szCs w:val="24"/>
        </w:rPr>
        <w:t>(the “</w:t>
      </w:r>
      <w:r>
        <w:rPr>
          <w:rFonts w:cs="Arial"/>
          <w:b/>
          <w:sz w:val="24"/>
          <w:szCs w:val="24"/>
        </w:rPr>
        <w:t>corporation</w:t>
      </w:r>
      <w:r>
        <w:rPr>
          <w:rFonts w:cs="Arial"/>
          <w:sz w:val="24"/>
          <w:szCs w:val="24"/>
        </w:rPr>
        <w:t>”)</w:t>
      </w:r>
    </w:p>
    <w:p>
      <w:pPr>
        <w:pStyle w:val="Normal"/>
        <w:jc w:val="both"/>
        <w:rPr>
          <w:rFonts w:ascii="Times New Roman" w:hAnsi="Times New Roman" w:cs="Arial"/>
          <w:sz w:val="24"/>
          <w:szCs w:val="24"/>
        </w:rPr>
      </w:pPr>
      <w:r>
        <w:rPr>
          <w:rFonts w:cs="Arial"/>
          <w:sz w:val="24"/>
          <w:szCs w:val="24"/>
        </w:rPr>
      </w:r>
    </w:p>
    <w:p>
      <w:pPr>
        <w:pStyle w:val="Normal"/>
        <w:jc w:val="both"/>
        <w:rPr>
          <w:rFonts w:ascii="Times New Roman" w:hAnsi="Times New Roman" w:cs="Arial"/>
          <w:sz w:val="24"/>
          <w:szCs w:val="24"/>
        </w:rPr>
      </w:pPr>
      <w:r>
        <w:rPr>
          <w:rFonts w:cs="Arial"/>
          <w:sz w:val="24"/>
          <w:szCs w:val="24"/>
        </w:rPr>
        <w:t xml:space="preserve">In respect of </w:t>
      </w:r>
      <w:r>
        <w:rPr>
          <w:rFonts w:cs="Arial"/>
          <w:sz w:val="24"/>
          <w:szCs w:val="24"/>
          <w:shd w:fill="FFFF00" w:val="clear"/>
        </w:rPr>
        <w:t>[name and address of subscriber]</w:t>
      </w:r>
    </w:p>
    <w:p>
      <w:pPr>
        <w:pStyle w:val="Normal"/>
        <w:jc w:val="both"/>
        <w:rPr>
          <w:rFonts w:ascii="Times New Roman" w:hAnsi="Times New Roman" w:cs="Arial"/>
          <w:sz w:val="24"/>
          <w:szCs w:val="24"/>
        </w:rPr>
      </w:pPr>
      <w:r>
        <w:rPr>
          <w:rFonts w:cs="Arial"/>
          <w:sz w:val="24"/>
          <w:szCs w:val="24"/>
        </w:rPr>
      </w:r>
    </w:p>
    <w:p>
      <w:pPr>
        <w:pStyle w:val="Normal"/>
        <w:jc w:val="end"/>
        <w:rPr>
          <w:rFonts w:ascii="Times New Roman" w:hAnsi="Times New Roman" w:cs="Arial"/>
          <w:sz w:val="24"/>
          <w:szCs w:val="24"/>
        </w:rPr>
      </w:pPr>
      <w:r>
        <w:rPr>
          <w:rFonts w:cs="Arial"/>
          <w:sz w:val="24"/>
          <w:szCs w:val="24"/>
        </w:rPr>
        <w:t>(the ‘subscriber’)</w:t>
      </w:r>
    </w:p>
    <w:p>
      <w:pPr>
        <w:pStyle w:val="Normal"/>
        <w:jc w:val="both"/>
        <w:rPr>
          <w:rFonts w:ascii="Times New Roman" w:hAnsi="Times New Roman" w:cs="Arial"/>
          <w:sz w:val="24"/>
          <w:szCs w:val="24"/>
        </w:rPr>
      </w:pPr>
      <w:r>
        <w:rPr>
          <w:rFonts w:cs="Arial"/>
          <w:sz w:val="24"/>
          <w:szCs w:val="24"/>
        </w:rPr>
      </w:r>
    </w:p>
    <w:p>
      <w:pPr>
        <w:pStyle w:val="Normal"/>
        <w:jc w:val="both"/>
        <w:rPr>
          <w:rFonts w:ascii="Times New Roman" w:hAnsi="Times New Roman" w:cs="Arial"/>
          <w:sz w:val="24"/>
          <w:szCs w:val="24"/>
        </w:rPr>
      </w:pPr>
      <w:r>
        <w:rPr>
          <w:rFonts w:cs="Arial"/>
          <w:sz w:val="24"/>
          <w:szCs w:val="24"/>
        </w:rPr>
        <w:t>WHEREAS, the corporation and subscriber agree in principle that the subscriber will subscribe for shares in the corporation (the ‘shares’) as more particularly described in the body of this resolution,</w:t>
      </w:r>
    </w:p>
    <w:p>
      <w:pPr>
        <w:pStyle w:val="Normal"/>
        <w:jc w:val="both"/>
        <w:rPr>
          <w:rFonts w:ascii="Times New Roman" w:hAnsi="Times New Roman" w:cs="Arial"/>
          <w:sz w:val="24"/>
          <w:szCs w:val="24"/>
        </w:rPr>
      </w:pPr>
      <w:r>
        <w:rPr>
          <w:rFonts w:cs="Arial"/>
          <w:sz w:val="24"/>
          <w:szCs w:val="24"/>
        </w:rPr>
      </w:r>
    </w:p>
    <w:p>
      <w:pPr>
        <w:pStyle w:val="Normal"/>
        <w:jc w:val="both"/>
        <w:rPr>
          <w:rFonts w:ascii="Times New Roman" w:hAnsi="Times New Roman" w:cs="Arial"/>
          <w:sz w:val="24"/>
          <w:szCs w:val="24"/>
        </w:rPr>
      </w:pPr>
      <w:r>
        <w:rPr>
          <w:rFonts w:cs="Arial"/>
          <w:sz w:val="24"/>
          <w:szCs w:val="24"/>
        </w:rPr>
        <w:t>AND WHEREAS, the conditions described below remain to be satisfied before that agreement in principle may be implemented;</w:t>
      </w:r>
    </w:p>
    <w:p>
      <w:pPr>
        <w:pStyle w:val="Normal"/>
        <w:jc w:val="both"/>
        <w:rPr>
          <w:rFonts w:ascii="Times New Roman" w:hAnsi="Times New Roman" w:cs="Arial"/>
          <w:sz w:val="24"/>
          <w:szCs w:val="24"/>
        </w:rPr>
      </w:pPr>
      <w:r>
        <w:rPr>
          <w:rFonts w:cs="Arial"/>
          <w:sz w:val="24"/>
          <w:szCs w:val="24"/>
        </w:rPr>
      </w:r>
    </w:p>
    <w:p>
      <w:pPr>
        <w:pStyle w:val="Normal"/>
        <w:jc w:val="both"/>
        <w:rPr>
          <w:rFonts w:ascii="Times New Roman" w:hAnsi="Times New Roman"/>
          <w:sz w:val="24"/>
          <w:szCs w:val="24"/>
        </w:rPr>
      </w:pPr>
      <w:r>
        <w:rPr>
          <w:rFonts w:cs="Arial"/>
          <w:b/>
          <w:i w:val="false"/>
          <w:iCs w:val="false"/>
          <w:sz w:val="24"/>
          <w:szCs w:val="24"/>
        </w:rPr>
        <w:t>RESOLVED THAT</w:t>
      </w:r>
    </w:p>
    <w:p>
      <w:pPr>
        <w:pStyle w:val="Normal"/>
        <w:jc w:val="both"/>
        <w:rPr>
          <w:rFonts w:ascii="Times New Roman" w:hAnsi="Times New Roman"/>
          <w:sz w:val="24"/>
          <w:szCs w:val="24"/>
        </w:rPr>
      </w:pPr>
      <w:r>
        <w:rPr>
          <w:sz w:val="24"/>
          <w:szCs w:val="24"/>
        </w:rPr>
      </w:r>
    </w:p>
    <w:p>
      <w:pPr>
        <w:pStyle w:val="Normal"/>
        <w:widowControl w:val="false"/>
        <w:numPr>
          <w:ilvl w:val="0"/>
          <w:numId w:val="1"/>
        </w:numPr>
        <w:suppressAutoHyphens w:val="true"/>
        <w:overflowPunct w:val="true"/>
        <w:bidi w:val="0"/>
        <w:spacing w:lineRule="auto" w:line="240" w:before="0" w:after="0"/>
        <w:ind w:hanging="340" w:start="340" w:end="0"/>
        <w:jc w:val="both"/>
        <w:textAlignment w:val="baseline"/>
        <w:rPr/>
      </w:pPr>
      <w:r>
        <w:rPr/>
        <w:t>Any office of the corporation is authorized and directed to offer for subscription the following shares in the corporation:</w:t>
      </w:r>
    </w:p>
    <w:p>
      <w:pPr>
        <w:pStyle w:val="Normal"/>
        <w:widowControl w:val="false"/>
        <w:suppressAutoHyphens w:val="true"/>
        <w:overflowPunct w:val="true"/>
        <w:bidi w:val="0"/>
        <w:spacing w:lineRule="auto" w:line="240" w:before="0" w:after="0"/>
        <w:ind w:hanging="340" w:start="340" w:end="0"/>
        <w:jc w:val="both"/>
        <w:textAlignment w:val="baseline"/>
        <w:rPr/>
      </w:pPr>
      <w:r>
        <w:rPr/>
      </w:r>
    </w:p>
    <w:p>
      <w:pPr>
        <w:pStyle w:val="Normal"/>
        <w:widowControl w:val="false"/>
        <w:suppressAutoHyphens w:val="true"/>
        <w:overflowPunct w:val="true"/>
        <w:bidi w:val="0"/>
        <w:spacing w:lineRule="auto" w:line="240" w:before="0" w:after="0"/>
        <w:ind w:hanging="340" w:start="340" w:end="0"/>
        <w:jc w:val="center"/>
        <w:textAlignment w:val="baseline"/>
        <w:rPr>
          <w:highlight w:val="none"/>
          <w:shd w:fill="FFFF00" w:val="clear"/>
        </w:rPr>
      </w:pPr>
      <w:r>
        <w:rPr>
          <w:shd w:fill="FFFF00" w:val="clear"/>
        </w:rPr>
        <w:t xml:space="preserve">[describe the shares being offered and, if necessary, </w:t>
      </w:r>
    </w:p>
    <w:p>
      <w:pPr>
        <w:pStyle w:val="Normal"/>
        <w:widowControl w:val="false"/>
        <w:suppressAutoHyphens w:val="true"/>
        <w:overflowPunct w:val="true"/>
        <w:bidi w:val="0"/>
        <w:spacing w:lineRule="auto" w:line="240" w:before="0" w:after="0"/>
        <w:ind w:hanging="340" w:start="340" w:end="0"/>
        <w:jc w:val="center"/>
        <w:textAlignment w:val="baseline"/>
        <w:rPr>
          <w:highlight w:val="none"/>
          <w:shd w:fill="FFFF00" w:val="clear"/>
        </w:rPr>
      </w:pPr>
      <w:r>
        <w:rPr>
          <w:shd w:fill="FFFF00" w:val="clear"/>
        </w:rPr>
        <w:t>attach a schedule including a comprehensive description]</w:t>
      </w:r>
    </w:p>
    <w:p>
      <w:pPr>
        <w:pStyle w:val="Normal"/>
        <w:widowControl w:val="false"/>
        <w:suppressAutoHyphens w:val="true"/>
        <w:overflowPunct w:val="true"/>
        <w:bidi w:val="0"/>
        <w:spacing w:lineRule="auto" w:line="240" w:before="0" w:after="0"/>
        <w:ind w:hanging="340" w:start="340" w:end="0"/>
        <w:jc w:val="center"/>
        <w:textAlignment w:val="baseline"/>
        <w:rPr>
          <w:highlight w:val="none"/>
          <w:shd w:fill="FFFF00" w:val="clear"/>
        </w:rPr>
      </w:pPr>
      <w:r>
        <w:rPr>
          <w:shd w:fill="FFFF00" w:val="clear"/>
        </w:rPr>
      </w:r>
    </w:p>
    <w:p>
      <w:pPr>
        <w:pStyle w:val="Normal"/>
        <w:widowControl w:val="false"/>
        <w:suppressAutoHyphens w:val="true"/>
        <w:overflowPunct w:val="true"/>
        <w:bidi w:val="0"/>
        <w:spacing w:lineRule="auto" w:line="240" w:before="0" w:after="0"/>
        <w:ind w:hanging="0" w:start="340" w:end="0"/>
        <w:jc w:val="start"/>
        <w:textAlignment w:val="baseline"/>
        <w:rPr>
          <w:highlight w:val="none"/>
          <w:shd w:fill="FFFF00" w:val="clear"/>
        </w:rPr>
      </w:pPr>
      <w:r>
        <w:rPr>
          <w:shd w:fill="auto" w:val="clear"/>
        </w:rPr>
        <w:t xml:space="preserve">to </w:t>
      </w:r>
      <w:r>
        <w:rPr>
          <w:shd w:fill="FFFF00" w:val="clear"/>
        </w:rPr>
        <w:t>[name and address of subscriber]</w:t>
      </w:r>
      <w:r>
        <w:rPr>
          <w:shd w:fill="auto" w:val="clear"/>
        </w:rPr>
        <w:t>.</w:t>
      </w:r>
    </w:p>
    <w:p>
      <w:pPr>
        <w:pStyle w:val="Normal"/>
        <w:widowControl w:val="false"/>
        <w:suppressAutoHyphens w:val="true"/>
        <w:overflowPunct w:val="true"/>
        <w:bidi w:val="0"/>
        <w:spacing w:lineRule="auto" w:line="240" w:before="0" w:after="0"/>
        <w:ind w:hanging="0" w:start="340" w:end="0"/>
        <w:jc w:val="start"/>
        <w:textAlignment w:val="baseline"/>
        <w:rPr>
          <w:highlight w:val="none"/>
          <w:shd w:fill="auto" w:val="clear"/>
        </w:rPr>
      </w:pPr>
      <w:r>
        <w:rPr>
          <w:shd w:fill="auto" w:val="clear"/>
        </w:rPr>
      </w:r>
    </w:p>
    <w:p>
      <w:pPr>
        <w:pStyle w:val="Normal"/>
        <w:widowControl w:val="false"/>
        <w:numPr>
          <w:ilvl w:val="0"/>
          <w:numId w:val="1"/>
        </w:numPr>
        <w:suppressAutoHyphens w:val="true"/>
        <w:overflowPunct w:val="true"/>
        <w:bidi w:val="0"/>
        <w:spacing w:lineRule="auto" w:line="240" w:before="0" w:after="0"/>
        <w:ind w:hanging="340" w:start="340" w:end="0"/>
        <w:jc w:val="both"/>
        <w:textAlignment w:val="baseline"/>
        <w:rPr/>
      </w:pPr>
      <w:r>
        <w:rPr/>
        <w:t>Subject to each and every of the following conditions being satisfied, the corporate secretary of the corporation is authorized and directed to:</w:t>
      </w:r>
    </w:p>
    <w:p>
      <w:pPr>
        <w:pStyle w:val="Normal"/>
        <w:widowControl w:val="false"/>
        <w:suppressAutoHyphens w:val="true"/>
        <w:overflowPunct w:val="true"/>
        <w:bidi w:val="0"/>
        <w:spacing w:lineRule="auto" w:line="240" w:before="0" w:after="0"/>
        <w:ind w:hanging="340" w:start="340" w:end="0"/>
        <w:jc w:val="both"/>
        <w:textAlignment w:val="baseline"/>
        <w:rPr/>
      </w:pPr>
      <w:r>
        <w:rPr/>
      </w:r>
    </w:p>
    <w:p>
      <w:pPr>
        <w:pStyle w:val="Normal"/>
        <w:widowControl w:val="false"/>
        <w:numPr>
          <w:ilvl w:val="1"/>
          <w:numId w:val="1"/>
        </w:numPr>
        <w:suppressAutoHyphens w:val="true"/>
        <w:overflowPunct w:val="true"/>
        <w:bidi w:val="0"/>
        <w:spacing w:lineRule="auto" w:line="240" w:before="0" w:after="0"/>
        <w:ind w:hanging="340" w:start="680" w:end="0"/>
        <w:jc w:val="both"/>
        <w:textAlignment w:val="baseline"/>
        <w:rPr/>
      </w:pPr>
      <w:r>
        <w:rPr/>
        <w:t>accept any subscription for the shares described in section 1 from the subscriber therein identified upon tender of the full subscription price in respect of those shares;</w:t>
      </w:r>
    </w:p>
    <w:p>
      <w:pPr>
        <w:pStyle w:val="Normal"/>
        <w:widowControl w:val="false"/>
        <w:numPr>
          <w:ilvl w:val="1"/>
          <w:numId w:val="1"/>
        </w:numPr>
        <w:suppressAutoHyphens w:val="true"/>
        <w:overflowPunct w:val="true"/>
        <w:bidi w:val="0"/>
        <w:spacing w:lineRule="auto" w:line="240" w:before="0" w:after="0"/>
        <w:ind w:hanging="340" w:start="680" w:end="0"/>
        <w:jc w:val="both"/>
        <w:textAlignment w:val="baseline"/>
        <w:rPr/>
      </w:pPr>
      <w:r>
        <w:rPr/>
        <w:t>issue and allot those shares to the subscriber (or such other person as the subscriber may direct in writing) immediately together with a certificate therefor, and to enter the name of the subscriber (or such other person as may be appropriate) in the share registry of the corporation; and</w:t>
      </w:r>
    </w:p>
    <w:p>
      <w:pPr>
        <w:pStyle w:val="Normal"/>
        <w:widowControl w:val="false"/>
        <w:numPr>
          <w:ilvl w:val="1"/>
          <w:numId w:val="1"/>
        </w:numPr>
        <w:suppressAutoHyphens w:val="true"/>
        <w:overflowPunct w:val="true"/>
        <w:bidi w:val="0"/>
        <w:spacing w:lineRule="auto" w:line="240" w:before="0" w:after="0"/>
        <w:ind w:hanging="340" w:start="680" w:end="0"/>
        <w:jc w:val="both"/>
        <w:textAlignment w:val="baseline"/>
        <w:rPr/>
      </w:pPr>
      <w:r>
        <w:rPr/>
        <w:t>to credit the payment of the subscription price so received to the appropriate stated capital account of the corporation for the class or series to which the shares belong.</w:t>
      </w:r>
    </w:p>
    <w:p>
      <w:pPr>
        <w:pStyle w:val="Normal"/>
        <w:widowControl w:val="false"/>
        <w:suppressAutoHyphens w:val="true"/>
        <w:overflowPunct w:val="true"/>
        <w:bidi w:val="0"/>
        <w:spacing w:lineRule="auto" w:line="240" w:before="0" w:after="0"/>
        <w:ind w:hanging="340" w:start="340" w:end="0"/>
        <w:jc w:val="both"/>
        <w:textAlignment w:val="baseline"/>
        <w:rPr/>
      </w:pPr>
      <w:r>
        <w:rPr/>
      </w:r>
    </w:p>
    <w:p>
      <w:pPr>
        <w:pStyle w:val="Normal"/>
        <w:widowControl w:val="false"/>
        <w:numPr>
          <w:ilvl w:val="0"/>
          <w:numId w:val="1"/>
        </w:numPr>
        <w:suppressAutoHyphens w:val="true"/>
        <w:overflowPunct w:val="true"/>
        <w:bidi w:val="0"/>
        <w:spacing w:lineRule="auto" w:line="240" w:before="0" w:after="0"/>
        <w:ind w:hanging="340" w:start="340" w:end="0"/>
        <w:jc w:val="both"/>
        <w:textAlignment w:val="baseline"/>
        <w:rPr/>
      </w:pPr>
      <w:r>
        <w:rPr/>
        <w:t>The authorization and direction set out in section 2 is subject to the following conditions:</w:t>
      </w:r>
    </w:p>
    <w:p>
      <w:pPr>
        <w:pStyle w:val="Normal"/>
        <w:widowControl w:val="false"/>
        <w:suppressAutoHyphens w:val="true"/>
        <w:overflowPunct w:val="true"/>
        <w:bidi w:val="0"/>
        <w:spacing w:lineRule="auto" w:line="240" w:before="0" w:after="0"/>
        <w:ind w:hanging="340" w:start="340" w:end="0"/>
        <w:jc w:val="both"/>
        <w:textAlignment w:val="baseline"/>
        <w:rPr/>
      </w:pPr>
      <w:r>
        <w:rPr/>
      </w:r>
    </w:p>
    <w:p>
      <w:pPr>
        <w:pStyle w:val="Normal"/>
        <w:widowControl w:val="false"/>
        <w:suppressAutoHyphens w:val="true"/>
        <w:overflowPunct w:val="true"/>
        <w:bidi w:val="0"/>
        <w:spacing w:lineRule="auto" w:line="240" w:before="0" w:after="0"/>
        <w:ind w:hanging="340" w:start="340" w:end="0"/>
        <w:jc w:val="center"/>
        <w:textAlignment w:val="baseline"/>
        <w:rPr>
          <w:highlight w:val="none"/>
          <w:shd w:fill="FFFF00" w:val="clear"/>
        </w:rPr>
      </w:pPr>
      <w:r>
        <w:rPr>
          <w:shd w:fill="FFFF00" w:val="clear"/>
        </w:rPr>
        <w:t>[set out conditions in full]</w:t>
      </w:r>
    </w:p>
    <w:p>
      <w:pPr>
        <w:pStyle w:val="Normal"/>
        <w:widowControl w:val="false"/>
        <w:suppressAutoHyphens w:val="true"/>
        <w:overflowPunct w:val="true"/>
        <w:bidi w:val="0"/>
        <w:spacing w:lineRule="auto" w:line="240" w:before="0" w:after="0"/>
        <w:ind w:hanging="340" w:start="340" w:end="0"/>
        <w:jc w:val="both"/>
        <w:textAlignment w:val="baseline"/>
        <w:rPr/>
      </w:pPr>
      <w:r>
        <w:rPr/>
      </w:r>
    </w:p>
    <w:p>
      <w:pPr>
        <w:pStyle w:val="Normal"/>
        <w:widowControl w:val="false"/>
        <w:numPr>
          <w:ilvl w:val="0"/>
          <w:numId w:val="1"/>
        </w:numPr>
        <w:suppressAutoHyphens w:val="true"/>
        <w:overflowPunct w:val="true"/>
        <w:bidi w:val="0"/>
        <w:spacing w:lineRule="auto" w:line="240" w:before="0" w:after="0"/>
        <w:ind w:hanging="340" w:start="340" w:end="0"/>
        <w:jc w:val="both"/>
        <w:textAlignment w:val="baseline"/>
        <w:rPr/>
      </w:pPr>
      <w:r>
        <w:rPr/>
        <w:t>The corporate secretary shall not issue or allot shares to the subscriber or any other person under section 2 unless and until all of the conditions described in section 3 have been satisfied in full, but the corporate secretary may exercise his or her reasonable discretion in determining whether there has been compliance with those conditions, and for that purpose may rely upon the expert advice of any lawyer, accountant or other professional without obtaining further direction from the board.</w:t>
      </w:r>
    </w:p>
    <w:p>
      <w:pPr>
        <w:pStyle w:val="Normal"/>
        <w:widowControl w:val="false"/>
        <w:suppressAutoHyphens w:val="true"/>
        <w:overflowPunct w:val="true"/>
        <w:bidi w:val="0"/>
        <w:spacing w:lineRule="auto" w:line="240" w:before="0" w:after="0"/>
        <w:ind w:hanging="340" w:start="340" w:end="0"/>
        <w:jc w:val="both"/>
        <w:textAlignment w:val="baseline"/>
        <w:rPr/>
      </w:pPr>
      <w:r>
        <w:rPr/>
      </w:r>
    </w:p>
    <w:p>
      <w:pPr>
        <w:pStyle w:val="Normal"/>
        <w:widowControl w:val="false"/>
        <w:numPr>
          <w:ilvl w:val="0"/>
          <w:numId w:val="1"/>
        </w:numPr>
        <w:suppressAutoHyphens w:val="true"/>
        <w:overflowPunct w:val="true"/>
        <w:bidi w:val="0"/>
        <w:spacing w:lineRule="auto" w:line="240" w:before="0" w:after="0"/>
        <w:ind w:hanging="340" w:start="340" w:end="0"/>
        <w:jc w:val="both"/>
        <w:textAlignment w:val="baseline"/>
        <w:rPr/>
      </w:pPr>
      <w:r>
        <w:rPr/>
        <w:t>In the event of the inability or failure of the corporate secretary to carry out the directions set out in this resolution, any other officer of the corporation described in section 1 is hereby authorized and directed to do and perform all such acts and things, including the execution of documents, necessary or desirable to carry out the responsibilities of the corporate secretary as required by this resolution without any further authorization or direction by the board.</w:t>
      </w:r>
    </w:p>
    <w:p>
      <w:pPr>
        <w:pStyle w:val="Normal"/>
        <w:widowControl w:val="false"/>
        <w:suppressAutoHyphens w:val="true"/>
        <w:overflowPunct w:val="true"/>
        <w:bidi w:val="0"/>
        <w:spacing w:lineRule="auto" w:line="240" w:before="0" w:after="0"/>
        <w:ind w:hanging="340" w:start="340" w:end="0"/>
        <w:jc w:val="both"/>
        <w:textAlignment w:val="baseline"/>
        <w:rPr/>
      </w:pPr>
      <w:r>
        <w:rPr/>
      </w:r>
    </w:p>
    <w:p>
      <w:pPr>
        <w:pStyle w:val="Normal"/>
        <w:widowControl w:val="false"/>
        <w:numPr>
          <w:ilvl w:val="0"/>
          <w:numId w:val="1"/>
        </w:numPr>
        <w:suppressAutoHyphens w:val="true"/>
        <w:overflowPunct w:val="true"/>
        <w:bidi w:val="0"/>
        <w:spacing w:lineRule="auto" w:line="240" w:before="0" w:after="0"/>
        <w:ind w:hanging="340" w:start="340" w:end="0"/>
        <w:jc w:val="both"/>
        <w:textAlignment w:val="baseline"/>
        <w:rPr/>
      </w:pPr>
      <w:r>
        <w:rPr/>
        <w:t xml:space="preserve">This resolution shall lapse and cease to have any effect unless the corporate secretary has determined in accordance with section 4 that all conditions set out in section 4 (other than such conditions as the Board may subsequently resolve to waive the performance or satisfaction of) have been satisfied in full on or before </w:t>
      </w:r>
      <w:r>
        <w:rPr>
          <w:shd w:fill="FFFF00" w:val="clear"/>
        </w:rPr>
        <w:t>[specify time and time zone]</w:t>
      </w:r>
      <w:r>
        <w:rPr/>
        <w:t xml:space="preserve"> on </w:t>
      </w:r>
      <w:r>
        <w:rPr>
          <w:shd w:fill="FFFF00" w:val="clear"/>
        </w:rPr>
        <w:t>[specify date]</w:t>
      </w:r>
      <w:r>
        <w:rPr/>
        <w:t>.</w:t>
      </w:r>
    </w:p>
    <w:p>
      <w:pPr>
        <w:pStyle w:val="Normal"/>
        <w:jc w:val="both"/>
        <w:rPr>
          <w:rFonts w:ascii="Times New Roman" w:hAnsi="Times New Roman"/>
          <w:sz w:val="24"/>
          <w:szCs w:val="24"/>
        </w:rPr>
      </w:pPr>
      <w:r>
        <w:rPr>
          <w:sz w:val="24"/>
          <w:szCs w:val="24"/>
        </w:rPr>
      </w:r>
    </w:p>
    <w:p>
      <w:pPr>
        <w:pStyle w:val="Normal"/>
        <w:jc w:val="both"/>
        <w:rPr>
          <w:rFonts w:ascii="Times New Roman" w:hAnsi="Times New Roman"/>
          <w:sz w:val="24"/>
          <w:szCs w:val="24"/>
        </w:rPr>
      </w:pPr>
      <w:r>
        <w:rPr>
          <w:b/>
        </w:rPr>
        <w:t>EACH AND EVERY OF THE FOREGOING RESOLUTIONS</w:t>
      </w:r>
      <w:r>
        <w:rPr/>
        <w:t xml:space="preserve"> is hereby consented to by the directors of the corporation, as evidenced by their respective signatures hereto in accordance with the provisions of section 129(1) of the </w:t>
      </w:r>
      <w:r>
        <w:rPr>
          <w:i/>
        </w:rPr>
        <w:t>Business Corporations Act</w:t>
      </w:r>
      <w:r>
        <w:rPr/>
        <w:t xml:space="preserve"> (Ontario) or section 117 of the </w:t>
      </w:r>
      <w:r>
        <w:rPr>
          <w:i/>
        </w:rPr>
        <w:t>Canada Business Corporations Act</w:t>
      </w:r>
      <w:r>
        <w:rPr/>
        <w:t xml:space="preserve">, as the case may be, this _____ day of </w:t>
      </w:r>
      <w:r>
        <w:rPr>
          <w:shd w:fill="FFFF00" w:val="clear"/>
        </w:rPr>
        <w:t>[]</w:t>
      </w:r>
      <w:r>
        <w:rPr/>
        <w:t>, 202</w:t>
      </w:r>
      <w:r>
        <w:rPr>
          <w:shd w:fill="FFFF00" w:val="clear"/>
        </w:rPr>
        <w:t>[]</w:t>
      </w:r>
      <w:r>
        <w:rPr/>
        <w:t>.</w:t>
      </w:r>
    </w:p>
    <w:p>
      <w:pPr>
        <w:pStyle w:val="Normal"/>
        <w:jc w:val="both"/>
        <w:rPr>
          <w:rFonts w:ascii="Times New Roman" w:hAnsi="Times New Roman" w:cs="Arial"/>
          <w:sz w:val="24"/>
          <w:szCs w:val="24"/>
        </w:rPr>
      </w:pPr>
      <w:r>
        <w:rPr>
          <w:rFonts w:cs="Arial"/>
          <w:sz w:val="24"/>
          <w:szCs w:val="24"/>
        </w:rPr>
      </w:r>
    </w:p>
    <w:tbl>
      <w:tblPr>
        <w:tblW w:w="936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357"/>
        <w:gridCol w:w="279"/>
        <w:gridCol w:w="4724"/>
      </w:tblGrid>
      <w:tr>
        <w:trPr>
          <w:trHeight w:val="567" w:hRule="atLeast"/>
        </w:trPr>
        <w:tc>
          <w:tcPr>
            <w:tcW w:w="4357" w:type="dxa"/>
            <w:tcBorders/>
            <w:shd w:color="auto" w:fill="auto" w:val="clear"/>
          </w:tcPr>
          <w:p>
            <w:pPr>
              <w:pStyle w:val="Normal"/>
              <w:jc w:val="both"/>
              <w:rPr>
                <w:rFonts w:ascii="Times New Roman" w:hAnsi="Times New Roman" w:cs="Arial"/>
                <w:sz w:val="24"/>
                <w:szCs w:val="24"/>
              </w:rPr>
            </w:pPr>
            <w:r>
              <w:rPr>
                <w:rFonts w:cs="Arial"/>
                <w:sz w:val="24"/>
                <w:szCs w:val="24"/>
              </w:rPr>
            </w:r>
          </w:p>
        </w:tc>
        <w:tc>
          <w:tcPr>
            <w:tcW w:w="279" w:type="dxa"/>
            <w:tcBorders/>
            <w:shd w:color="auto" w:fill="auto" w:val="clear"/>
          </w:tcPr>
          <w:p>
            <w:pPr>
              <w:pStyle w:val="Normal"/>
              <w:jc w:val="both"/>
              <w:rPr>
                <w:rFonts w:ascii="Times New Roman" w:hAnsi="Times New Roman" w:cs="Arial"/>
                <w:sz w:val="24"/>
                <w:szCs w:val="24"/>
              </w:rPr>
            </w:pPr>
            <w:r>
              <w:rPr>
                <w:rFonts w:cs="Arial"/>
                <w:sz w:val="24"/>
                <w:szCs w:val="24"/>
              </w:rPr>
            </w:r>
          </w:p>
        </w:tc>
        <w:tc>
          <w:tcPr>
            <w:tcW w:w="4724" w:type="dxa"/>
            <w:tcBorders>
              <w:bottom w:val="single" w:sz="4" w:space="0" w:color="000000"/>
            </w:tcBorders>
            <w:shd w:color="auto" w:fill="auto" w:val="clear"/>
          </w:tcPr>
          <w:p>
            <w:pPr>
              <w:pStyle w:val="Normal"/>
              <w:jc w:val="both"/>
              <w:rPr>
                <w:rFonts w:ascii="Times New Roman" w:hAnsi="Times New Roman" w:cs="Arial"/>
                <w:sz w:val="24"/>
                <w:szCs w:val="24"/>
              </w:rPr>
            </w:pPr>
            <w:r>
              <w:rPr>
                <w:rFonts w:cs="Arial"/>
                <w:sz w:val="24"/>
                <w:szCs w:val="24"/>
              </w:rPr>
            </w:r>
          </w:p>
        </w:tc>
      </w:tr>
      <w:tr>
        <w:trPr/>
        <w:tc>
          <w:tcPr>
            <w:tcW w:w="4357" w:type="dxa"/>
            <w:tcBorders/>
            <w:shd w:color="auto" w:fill="auto" w:val="clear"/>
          </w:tcPr>
          <w:p>
            <w:pPr>
              <w:pStyle w:val="Normal"/>
              <w:jc w:val="both"/>
              <w:rPr>
                <w:rFonts w:ascii="Times New Roman" w:hAnsi="Times New Roman" w:cs="Arial"/>
                <w:sz w:val="24"/>
                <w:szCs w:val="24"/>
              </w:rPr>
            </w:pPr>
            <w:r>
              <w:rPr>
                <w:rFonts w:cs="Arial"/>
                <w:sz w:val="24"/>
                <w:szCs w:val="24"/>
              </w:rPr>
            </w:r>
          </w:p>
        </w:tc>
        <w:tc>
          <w:tcPr>
            <w:tcW w:w="279" w:type="dxa"/>
            <w:tcBorders/>
            <w:shd w:color="auto" w:fill="auto" w:val="clear"/>
          </w:tcPr>
          <w:p>
            <w:pPr>
              <w:pStyle w:val="Normal"/>
              <w:jc w:val="both"/>
              <w:rPr>
                <w:rFonts w:ascii="Times New Roman" w:hAnsi="Times New Roman" w:cs="Arial"/>
                <w:sz w:val="24"/>
                <w:szCs w:val="24"/>
              </w:rPr>
            </w:pPr>
            <w:r>
              <w:rPr>
                <w:rFonts w:cs="Arial"/>
                <w:sz w:val="24"/>
                <w:szCs w:val="24"/>
              </w:rPr>
            </w:r>
          </w:p>
        </w:tc>
        <w:tc>
          <w:tcPr>
            <w:tcW w:w="4724" w:type="dxa"/>
            <w:tcBorders>
              <w:top w:val="single" w:sz="4" w:space="0" w:color="000000"/>
            </w:tcBorders>
            <w:shd w:color="auto" w:fill="auto" w:val="clear"/>
          </w:tcPr>
          <w:p>
            <w:pPr>
              <w:pStyle w:val="Normal"/>
              <w:jc w:val="both"/>
              <w:rPr>
                <w:rFonts w:cs="Arial"/>
                <w:b/>
              </w:rPr>
            </w:pPr>
            <w:r>
              <w:rPr>
                <w:rFonts w:cs="Arial"/>
                <w:b/>
              </w:rPr>
            </w:r>
          </w:p>
        </w:tc>
      </w:tr>
      <w:tr>
        <w:trPr>
          <w:trHeight w:val="397" w:hRule="atLeast"/>
        </w:trPr>
        <w:tc>
          <w:tcPr>
            <w:tcW w:w="4357" w:type="dxa"/>
            <w:tcBorders/>
            <w:shd w:color="auto" w:fill="auto" w:val="clear"/>
          </w:tcPr>
          <w:p>
            <w:pPr>
              <w:pStyle w:val="Normal"/>
              <w:jc w:val="both"/>
              <w:rPr>
                <w:rFonts w:ascii="Times New Roman" w:hAnsi="Times New Roman" w:cs="Arial"/>
                <w:sz w:val="24"/>
                <w:szCs w:val="24"/>
              </w:rPr>
            </w:pPr>
            <w:r>
              <w:rPr>
                <w:rFonts w:cs="Arial"/>
                <w:sz w:val="24"/>
                <w:szCs w:val="24"/>
              </w:rPr>
            </w:r>
          </w:p>
        </w:tc>
        <w:tc>
          <w:tcPr>
            <w:tcW w:w="279" w:type="dxa"/>
            <w:tcBorders/>
            <w:shd w:color="auto" w:fill="auto" w:val="clear"/>
          </w:tcPr>
          <w:p>
            <w:pPr>
              <w:pStyle w:val="Normal"/>
              <w:jc w:val="both"/>
              <w:rPr>
                <w:rFonts w:ascii="Times New Roman" w:hAnsi="Times New Roman" w:cs="Arial"/>
                <w:sz w:val="24"/>
                <w:szCs w:val="24"/>
              </w:rPr>
            </w:pPr>
            <w:r>
              <w:rPr>
                <w:rFonts w:cs="Arial"/>
                <w:sz w:val="24"/>
                <w:szCs w:val="24"/>
              </w:rPr>
            </w:r>
          </w:p>
        </w:tc>
        <w:tc>
          <w:tcPr>
            <w:tcW w:w="4724" w:type="dxa"/>
            <w:tcBorders/>
            <w:shd w:color="auto" w:fill="auto" w:val="clear"/>
          </w:tcPr>
          <w:p>
            <w:pPr>
              <w:pStyle w:val="Normal"/>
              <w:jc w:val="both"/>
              <w:rPr>
                <w:rFonts w:ascii="Times New Roman" w:hAnsi="Times New Roman" w:cs="Arial"/>
                <w:sz w:val="24"/>
                <w:szCs w:val="24"/>
              </w:rPr>
            </w:pPr>
            <w:r>
              <w:rPr>
                <w:rFonts w:cs="Arial"/>
                <w:sz w:val="24"/>
                <w:szCs w:val="24"/>
              </w:rPr>
            </w:r>
          </w:p>
        </w:tc>
      </w:tr>
    </w:tbl>
    <w:p>
      <w:pPr>
        <w:pStyle w:val="Normal"/>
        <w:rPr>
          <w:rFonts w:ascii="Times New Roman" w:hAnsi="Times New Roman"/>
          <w:sz w:val="24"/>
          <w:szCs w:val="24"/>
        </w:rPr>
      </w:pPr>
      <w:r>
        <w:rPr>
          <w:sz w:val="24"/>
          <w:szCs w:val="24"/>
        </w:rPr>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rPr/>
    </w:lvl>
    <w:lvl w:ilvl="1">
      <w:start w:val="1"/>
      <w:numFmt w:val="lowerLetter"/>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C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n-CA"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27ba8"/>
    <w:pPr>
      <w:widowControl w:val="false"/>
      <w:suppressAutoHyphens w:val="true"/>
      <w:overflowPunct w:val="true"/>
      <w:bidi w:val="0"/>
      <w:spacing w:lineRule="auto" w:line="240" w:before="0" w:after="0"/>
      <w:jc w:val="start"/>
      <w:textAlignment w:val="baseline"/>
    </w:pPr>
    <w:rPr>
      <w:rFonts w:ascii="Times New Roman" w:hAnsi="Times New Roman" w:eastAsia="Times New Roman" w:cs="Times New Roman"/>
      <w:color w:val="auto"/>
      <w:kern w:val="0"/>
      <w:sz w:val="24"/>
      <w:szCs w:val="20"/>
      <w:lang w:val="en-US" w:eastAsia="en-CA" w:bidi="ar-SA"/>
      <w14:ligatures w14:val="none"/>
    </w:rPr>
  </w:style>
  <w:style w:type="paragraph" w:styleId="Heading1">
    <w:name w:val="heading 1"/>
    <w:basedOn w:val="Normal"/>
    <w:next w:val="Normal"/>
    <w:link w:val="Heading1Char"/>
    <w:uiPriority w:val="9"/>
    <w:qFormat/>
    <w:rsid w:val="00127ba8"/>
    <w:pPr>
      <w:keepNext w:val="true"/>
      <w:keepLines/>
      <w:widowControl/>
      <w:overflowPunct w:val="false"/>
      <w:spacing w:lineRule="auto" w:line="278" w:before="360" w:after="80"/>
      <w:textAlignment w:val="auto"/>
      <w:outlineLvl w:val="0"/>
    </w:pPr>
    <w:rPr>
      <w:rFonts w:ascii="Calibri Light" w:hAnsi="Calibri Light" w:eastAsia="" w:cs="" w:asciiTheme="majorHAnsi" w:cstheme="majorBidi" w:eastAsiaTheme="majorEastAsia" w:hAnsiTheme="majorHAnsi"/>
      <w:color w:themeColor="accent1" w:themeShade="bf" w:val="2F5496"/>
      <w:kern w:val="2"/>
      <w:sz w:val="40"/>
      <w:szCs w:val="40"/>
      <w:lang w:val="en-CA" w:eastAsia="en-US"/>
      <w14:ligatures w14:val="standardContextual"/>
    </w:rPr>
  </w:style>
  <w:style w:type="paragraph" w:styleId="Heading2">
    <w:name w:val="heading 2"/>
    <w:basedOn w:val="Normal"/>
    <w:next w:val="Normal"/>
    <w:link w:val="Heading2Char"/>
    <w:uiPriority w:val="9"/>
    <w:semiHidden/>
    <w:unhideWhenUsed/>
    <w:qFormat/>
    <w:rsid w:val="00127ba8"/>
    <w:pPr>
      <w:keepNext w:val="true"/>
      <w:keepLines/>
      <w:widowControl/>
      <w:overflowPunct w:val="false"/>
      <w:spacing w:lineRule="auto" w:line="278" w:before="160" w:after="80"/>
      <w:textAlignment w:val="auto"/>
      <w:outlineLvl w:val="1"/>
    </w:pPr>
    <w:rPr>
      <w:rFonts w:ascii="Calibri Light" w:hAnsi="Calibri Light" w:eastAsia="" w:cs="" w:asciiTheme="majorHAnsi" w:cstheme="majorBidi" w:eastAsiaTheme="majorEastAsia" w:hAnsiTheme="majorHAnsi"/>
      <w:color w:themeColor="accent1" w:themeShade="bf" w:val="2F5496"/>
      <w:kern w:val="2"/>
      <w:sz w:val="32"/>
      <w:szCs w:val="32"/>
      <w:lang w:val="en-CA" w:eastAsia="en-US"/>
      <w14:ligatures w14:val="standardContextual"/>
    </w:rPr>
  </w:style>
  <w:style w:type="paragraph" w:styleId="Heading3">
    <w:name w:val="heading 3"/>
    <w:basedOn w:val="Normal"/>
    <w:next w:val="Normal"/>
    <w:link w:val="Heading3Char"/>
    <w:uiPriority w:val="9"/>
    <w:semiHidden/>
    <w:unhideWhenUsed/>
    <w:qFormat/>
    <w:rsid w:val="00127ba8"/>
    <w:pPr>
      <w:keepNext w:val="true"/>
      <w:keepLines/>
      <w:widowControl/>
      <w:overflowPunct w:val="false"/>
      <w:spacing w:lineRule="auto" w:line="278" w:before="160" w:after="80"/>
      <w:textAlignment w:val="auto"/>
      <w:outlineLvl w:val="2"/>
    </w:pPr>
    <w:rPr>
      <w:rFonts w:ascii="Calibri" w:hAnsi="Calibri" w:eastAsia="" w:cs="" w:asciiTheme="minorHAnsi" w:cstheme="majorBidi" w:eastAsiaTheme="majorEastAsia" w:hAnsiTheme="minorHAnsi"/>
      <w:color w:themeColor="accent1" w:themeShade="bf" w:val="2F5496"/>
      <w:kern w:val="2"/>
      <w:sz w:val="28"/>
      <w:szCs w:val="28"/>
      <w:lang w:val="en-CA" w:eastAsia="en-US"/>
      <w14:ligatures w14:val="standardContextual"/>
    </w:rPr>
  </w:style>
  <w:style w:type="paragraph" w:styleId="Heading4">
    <w:name w:val="heading 4"/>
    <w:basedOn w:val="Normal"/>
    <w:next w:val="Normal"/>
    <w:link w:val="Heading4Char"/>
    <w:uiPriority w:val="9"/>
    <w:semiHidden/>
    <w:unhideWhenUsed/>
    <w:qFormat/>
    <w:rsid w:val="00127ba8"/>
    <w:pPr>
      <w:keepNext w:val="true"/>
      <w:keepLines/>
      <w:widowControl/>
      <w:overflowPunct w:val="false"/>
      <w:spacing w:lineRule="auto" w:line="278" w:before="80" w:after="40"/>
      <w:textAlignment w:val="auto"/>
      <w:outlineLvl w:val="3"/>
    </w:pPr>
    <w:rPr>
      <w:rFonts w:ascii="Calibri" w:hAnsi="Calibri" w:eastAsia="" w:cs="" w:asciiTheme="minorHAnsi" w:cstheme="majorBidi" w:eastAsiaTheme="majorEastAsia" w:hAnsiTheme="minorHAnsi"/>
      <w:i/>
      <w:iCs/>
      <w:color w:themeColor="accent1" w:themeShade="bf" w:val="2F5496"/>
      <w:kern w:val="2"/>
      <w:szCs w:val="24"/>
      <w:lang w:val="en-CA" w:eastAsia="en-US"/>
      <w14:ligatures w14:val="standardContextual"/>
    </w:rPr>
  </w:style>
  <w:style w:type="paragraph" w:styleId="Heading5">
    <w:name w:val="heading 5"/>
    <w:basedOn w:val="Normal"/>
    <w:next w:val="Normal"/>
    <w:link w:val="Heading5Char"/>
    <w:uiPriority w:val="9"/>
    <w:semiHidden/>
    <w:unhideWhenUsed/>
    <w:qFormat/>
    <w:rsid w:val="00127ba8"/>
    <w:pPr>
      <w:keepNext w:val="true"/>
      <w:keepLines/>
      <w:widowControl/>
      <w:overflowPunct w:val="false"/>
      <w:spacing w:lineRule="auto" w:line="278" w:before="80" w:after="40"/>
      <w:textAlignment w:val="auto"/>
      <w:outlineLvl w:val="4"/>
    </w:pPr>
    <w:rPr>
      <w:rFonts w:ascii="Calibri" w:hAnsi="Calibri" w:eastAsia="" w:cs="" w:asciiTheme="minorHAnsi" w:cstheme="majorBidi" w:eastAsiaTheme="majorEastAsia" w:hAnsiTheme="minorHAnsi"/>
      <w:color w:themeColor="accent1" w:themeShade="bf" w:val="2F5496"/>
      <w:kern w:val="2"/>
      <w:szCs w:val="24"/>
      <w:lang w:val="en-CA" w:eastAsia="en-US"/>
      <w14:ligatures w14:val="standardContextual"/>
    </w:rPr>
  </w:style>
  <w:style w:type="paragraph" w:styleId="Heading6">
    <w:name w:val="heading 6"/>
    <w:basedOn w:val="Normal"/>
    <w:next w:val="Normal"/>
    <w:link w:val="Heading6Char"/>
    <w:uiPriority w:val="9"/>
    <w:semiHidden/>
    <w:unhideWhenUsed/>
    <w:qFormat/>
    <w:rsid w:val="00127ba8"/>
    <w:pPr>
      <w:keepNext w:val="true"/>
      <w:keepLines/>
      <w:widowControl/>
      <w:overflowPunct w:val="false"/>
      <w:spacing w:lineRule="auto" w:line="278" w:before="40" w:after="0"/>
      <w:textAlignment w:val="auto"/>
      <w:outlineLvl w:val="5"/>
    </w:pPr>
    <w:rPr>
      <w:rFonts w:ascii="Calibri" w:hAnsi="Calibri" w:eastAsia="" w:cs="" w:asciiTheme="minorHAnsi" w:cstheme="majorBidi" w:eastAsiaTheme="majorEastAsia" w:hAnsiTheme="minorHAnsi"/>
      <w:i/>
      <w:iCs/>
      <w:color w:themeColor="text1" w:themeTint="a6" w:val="595959"/>
      <w:kern w:val="2"/>
      <w:szCs w:val="24"/>
      <w:lang w:val="en-CA" w:eastAsia="en-US"/>
      <w14:ligatures w14:val="standardContextual"/>
    </w:rPr>
  </w:style>
  <w:style w:type="paragraph" w:styleId="Heading7">
    <w:name w:val="heading 7"/>
    <w:basedOn w:val="Normal"/>
    <w:next w:val="Normal"/>
    <w:link w:val="Heading7Char"/>
    <w:uiPriority w:val="9"/>
    <w:semiHidden/>
    <w:unhideWhenUsed/>
    <w:qFormat/>
    <w:rsid w:val="00127ba8"/>
    <w:pPr>
      <w:keepNext w:val="true"/>
      <w:keepLines/>
      <w:widowControl/>
      <w:overflowPunct w:val="false"/>
      <w:spacing w:lineRule="auto" w:line="278" w:before="40" w:after="0"/>
      <w:textAlignment w:val="auto"/>
      <w:outlineLvl w:val="6"/>
    </w:pPr>
    <w:rPr>
      <w:rFonts w:ascii="Calibri" w:hAnsi="Calibri" w:eastAsia="" w:cs="" w:asciiTheme="minorHAnsi" w:cstheme="majorBidi" w:eastAsiaTheme="majorEastAsia" w:hAnsiTheme="minorHAnsi"/>
      <w:color w:themeColor="text1" w:themeTint="a6" w:val="595959"/>
      <w:kern w:val="2"/>
      <w:szCs w:val="24"/>
      <w:lang w:val="en-CA" w:eastAsia="en-US"/>
      <w14:ligatures w14:val="standardContextual"/>
    </w:rPr>
  </w:style>
  <w:style w:type="paragraph" w:styleId="Heading8">
    <w:name w:val="heading 8"/>
    <w:basedOn w:val="Normal"/>
    <w:next w:val="Normal"/>
    <w:link w:val="Heading8Char"/>
    <w:uiPriority w:val="9"/>
    <w:semiHidden/>
    <w:unhideWhenUsed/>
    <w:qFormat/>
    <w:rsid w:val="00127ba8"/>
    <w:pPr>
      <w:keepNext w:val="true"/>
      <w:keepLines/>
      <w:widowControl/>
      <w:overflowPunct w:val="false"/>
      <w:spacing w:lineRule="auto" w:line="278"/>
      <w:textAlignment w:val="auto"/>
      <w:outlineLvl w:val="7"/>
    </w:pPr>
    <w:rPr>
      <w:rFonts w:ascii="Calibri" w:hAnsi="Calibri" w:eastAsia="" w:cs="" w:asciiTheme="minorHAnsi" w:cstheme="majorBidi" w:eastAsiaTheme="majorEastAsia" w:hAnsiTheme="minorHAnsi"/>
      <w:i/>
      <w:iCs/>
      <w:color w:themeColor="text1" w:themeTint="d8" w:val="272727"/>
      <w:kern w:val="2"/>
      <w:szCs w:val="24"/>
      <w:lang w:val="en-CA" w:eastAsia="en-US"/>
      <w14:ligatures w14:val="standardContextual"/>
    </w:rPr>
  </w:style>
  <w:style w:type="paragraph" w:styleId="Heading9">
    <w:name w:val="heading 9"/>
    <w:basedOn w:val="Normal"/>
    <w:next w:val="Normal"/>
    <w:link w:val="Heading9Char"/>
    <w:uiPriority w:val="9"/>
    <w:semiHidden/>
    <w:unhideWhenUsed/>
    <w:qFormat/>
    <w:rsid w:val="00127ba8"/>
    <w:pPr>
      <w:keepNext w:val="true"/>
      <w:keepLines/>
      <w:widowControl/>
      <w:overflowPunct w:val="false"/>
      <w:spacing w:lineRule="auto" w:line="278"/>
      <w:textAlignment w:val="auto"/>
      <w:outlineLvl w:val="8"/>
    </w:pPr>
    <w:rPr>
      <w:rFonts w:ascii="Calibri" w:hAnsi="Calibri" w:eastAsia="" w:cs="" w:asciiTheme="minorHAnsi" w:cstheme="majorBidi" w:eastAsiaTheme="majorEastAsia" w:hAnsiTheme="minorHAnsi"/>
      <w:color w:themeColor="text1" w:themeTint="d8" w:val="272727"/>
      <w:kern w:val="2"/>
      <w:szCs w:val="24"/>
      <w:lang w:val="en-CA" w:eastAsia="en-US"/>
      <w14:ligatures w14:val="standardContextual"/>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127ba8"/>
    <w:rPr>
      <w:rFonts w:ascii="Calibri Light" w:hAnsi="Calibri Light" w:eastAsia="" w:cs="" w:asciiTheme="majorHAnsi" w:cstheme="majorBidi" w:eastAsiaTheme="majorEastAsia" w:hAnsiTheme="majorHAnsi"/>
      <w:color w:themeColor="accent1" w:themeShade="bf" w:val="2F5496"/>
      <w:sz w:val="40"/>
      <w:szCs w:val="40"/>
    </w:rPr>
  </w:style>
  <w:style w:type="character" w:styleId="Heading2Char" w:customStyle="1">
    <w:name w:val="Heading 2 Char"/>
    <w:basedOn w:val="DefaultParagraphFont"/>
    <w:link w:val="Heading2"/>
    <w:uiPriority w:val="9"/>
    <w:semiHidden/>
    <w:qFormat/>
    <w:rsid w:val="00127ba8"/>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3Char" w:customStyle="1">
    <w:name w:val="Heading 3 Char"/>
    <w:basedOn w:val="DefaultParagraphFont"/>
    <w:link w:val="Heading3"/>
    <w:uiPriority w:val="9"/>
    <w:semiHidden/>
    <w:qFormat/>
    <w:rsid w:val="00127ba8"/>
    <w:rPr>
      <w:rFonts w:eastAsia="" w:cs="" w:cstheme="majorBidi" w:eastAsiaTheme="majorEastAsia"/>
      <w:color w:themeColor="accent1" w:themeShade="bf" w:val="2F5496"/>
      <w:sz w:val="28"/>
      <w:szCs w:val="28"/>
    </w:rPr>
  </w:style>
  <w:style w:type="character" w:styleId="Heading4Char" w:customStyle="1">
    <w:name w:val="Heading 4 Char"/>
    <w:basedOn w:val="DefaultParagraphFont"/>
    <w:link w:val="Heading4"/>
    <w:uiPriority w:val="9"/>
    <w:semiHidden/>
    <w:qFormat/>
    <w:rsid w:val="00127ba8"/>
    <w:rPr>
      <w:rFonts w:eastAsia="" w:cs="" w:cstheme="majorBidi" w:eastAsiaTheme="majorEastAsia"/>
      <w:i/>
      <w:iCs/>
      <w:color w:themeColor="accent1" w:themeShade="bf" w:val="2F5496"/>
    </w:rPr>
  </w:style>
  <w:style w:type="character" w:styleId="Heading5Char" w:customStyle="1">
    <w:name w:val="Heading 5 Char"/>
    <w:basedOn w:val="DefaultParagraphFont"/>
    <w:link w:val="Heading5"/>
    <w:uiPriority w:val="9"/>
    <w:semiHidden/>
    <w:qFormat/>
    <w:rsid w:val="00127ba8"/>
    <w:rPr>
      <w:rFonts w:eastAsia="" w:cs="" w:cstheme="majorBidi" w:eastAsiaTheme="majorEastAsia"/>
      <w:color w:themeColor="accent1" w:themeShade="bf" w:val="2F5496"/>
    </w:rPr>
  </w:style>
  <w:style w:type="character" w:styleId="Heading6Char" w:customStyle="1">
    <w:name w:val="Heading 6 Char"/>
    <w:basedOn w:val="DefaultParagraphFont"/>
    <w:link w:val="Heading6"/>
    <w:uiPriority w:val="9"/>
    <w:semiHidden/>
    <w:qFormat/>
    <w:rsid w:val="00127ba8"/>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127ba8"/>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127ba8"/>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127ba8"/>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127ba8"/>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127ba8"/>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127ba8"/>
    <w:rPr>
      <w:i/>
      <w:iCs/>
      <w:color w:themeColor="text1" w:themeTint="bf" w:val="404040"/>
    </w:rPr>
  </w:style>
  <w:style w:type="character" w:styleId="IntenseEmphasis">
    <w:name w:val="Intense Emphasis"/>
    <w:basedOn w:val="DefaultParagraphFont"/>
    <w:uiPriority w:val="21"/>
    <w:qFormat/>
    <w:rsid w:val="00127ba8"/>
    <w:rPr>
      <w:i/>
      <w:iCs/>
      <w:color w:themeColor="accent1" w:themeShade="bf" w:val="2F5496"/>
    </w:rPr>
  </w:style>
  <w:style w:type="character" w:styleId="IntenseQuoteChar" w:customStyle="1">
    <w:name w:val="Intense Quote Char"/>
    <w:basedOn w:val="DefaultParagraphFont"/>
    <w:link w:val="IntenseQuote"/>
    <w:uiPriority w:val="30"/>
    <w:qFormat/>
    <w:rsid w:val="00127ba8"/>
    <w:rPr>
      <w:i/>
      <w:iCs/>
      <w:color w:themeColor="accent1" w:themeShade="bf" w:val="2F5496"/>
    </w:rPr>
  </w:style>
  <w:style w:type="character" w:styleId="IntenseReference">
    <w:name w:val="Intense Reference"/>
    <w:basedOn w:val="DefaultParagraphFont"/>
    <w:uiPriority w:val="32"/>
    <w:qFormat/>
    <w:rsid w:val="00127ba8"/>
    <w:rPr>
      <w:b/>
      <w:bCs/>
      <w:smallCaps/>
      <w:color w:themeColor="accent1" w:themeShade="bf" w:val="2F5496"/>
      <w:spacing w:val="5"/>
    </w:rPr>
  </w:style>
  <w:style w:type="character" w:styleId="Bulletsuser">
    <w:name w:val="Bullets (user)"/>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127ba8"/>
    <w:pPr>
      <w:widowControl/>
      <w:overflowPunct w:val="false"/>
      <w:spacing w:before="0" w:after="80"/>
      <w:contextualSpacing/>
      <w:textAlignment w:val="auto"/>
    </w:pPr>
    <w:rPr>
      <w:rFonts w:ascii="Calibri Light" w:hAnsi="Calibri Light" w:eastAsia="" w:cs="" w:asciiTheme="majorHAnsi" w:cstheme="majorBidi" w:eastAsiaTheme="majorEastAsia" w:hAnsiTheme="majorHAnsi"/>
      <w:spacing w:val="-10"/>
      <w:kern w:val="2"/>
      <w:sz w:val="56"/>
      <w:szCs w:val="56"/>
      <w:lang w:val="en-CA" w:eastAsia="en-US"/>
      <w14:ligatures w14:val="standardContextual"/>
    </w:rPr>
  </w:style>
  <w:style w:type="paragraph" w:styleId="Subtitle">
    <w:name w:val="Subtitle"/>
    <w:basedOn w:val="Normal"/>
    <w:next w:val="Normal"/>
    <w:link w:val="SubtitleChar"/>
    <w:uiPriority w:val="11"/>
    <w:qFormat/>
    <w:rsid w:val="00127ba8"/>
    <w:pPr>
      <w:widowControl/>
      <w:overflowPunct w:val="false"/>
      <w:spacing w:lineRule="auto" w:line="278" w:before="0" w:after="160"/>
      <w:textAlignment w:val="auto"/>
    </w:pPr>
    <w:rPr>
      <w:rFonts w:ascii="Calibri" w:hAnsi="Calibri" w:eastAsia="" w:cs="" w:asciiTheme="minorHAnsi" w:cstheme="majorBidi" w:eastAsiaTheme="majorEastAsia" w:hAnsiTheme="minorHAnsi"/>
      <w:color w:themeColor="text1" w:themeTint="a6" w:val="595959"/>
      <w:spacing w:val="15"/>
      <w:kern w:val="2"/>
      <w:sz w:val="28"/>
      <w:szCs w:val="28"/>
      <w:lang w:val="en-CA" w:eastAsia="en-US"/>
      <w14:ligatures w14:val="standardContextual"/>
    </w:rPr>
  </w:style>
  <w:style w:type="paragraph" w:styleId="Quote">
    <w:name w:val="Quote"/>
    <w:basedOn w:val="Normal"/>
    <w:next w:val="Normal"/>
    <w:link w:val="QuoteChar"/>
    <w:uiPriority w:val="29"/>
    <w:qFormat/>
    <w:rsid w:val="00127ba8"/>
    <w:pPr>
      <w:widowControl/>
      <w:overflowPunct w:val="false"/>
      <w:spacing w:lineRule="auto" w:line="278" w:before="160" w:after="160"/>
      <w:jc w:val="center"/>
      <w:textAlignment w:val="auto"/>
    </w:pPr>
    <w:rPr>
      <w:rFonts w:ascii="Calibri" w:hAnsi="Calibri" w:eastAsia="Calibri" w:cs="" w:asciiTheme="minorHAnsi" w:cstheme="minorBidi" w:eastAsiaTheme="minorHAnsi" w:hAnsiTheme="minorHAnsi"/>
      <w:i/>
      <w:iCs/>
      <w:color w:themeColor="text1" w:themeTint="bf" w:val="404040"/>
      <w:kern w:val="2"/>
      <w:szCs w:val="24"/>
      <w:lang w:val="en-CA" w:eastAsia="en-US"/>
      <w14:ligatures w14:val="standardContextual"/>
    </w:rPr>
  </w:style>
  <w:style w:type="paragraph" w:styleId="ListParagraph">
    <w:name w:val="List Paragraph"/>
    <w:basedOn w:val="Normal"/>
    <w:uiPriority w:val="34"/>
    <w:qFormat/>
    <w:rsid w:val="00127ba8"/>
    <w:pPr>
      <w:widowControl/>
      <w:overflowPunct w:val="false"/>
      <w:spacing w:lineRule="auto" w:line="278" w:before="0" w:after="160"/>
      <w:ind w:start="720"/>
      <w:contextualSpacing/>
      <w:textAlignment w:val="auto"/>
    </w:pPr>
    <w:rPr>
      <w:rFonts w:ascii="Calibri" w:hAnsi="Calibri" w:eastAsia="Calibri" w:cs="" w:asciiTheme="minorHAnsi" w:cstheme="minorBidi" w:eastAsiaTheme="minorHAnsi" w:hAnsiTheme="minorHAnsi"/>
      <w:kern w:val="2"/>
      <w:szCs w:val="24"/>
      <w:lang w:val="en-CA" w:eastAsia="en-US"/>
      <w14:ligatures w14:val="standardContextual"/>
    </w:rPr>
  </w:style>
  <w:style w:type="paragraph" w:styleId="IntenseQuote">
    <w:name w:val="Intense Quote"/>
    <w:basedOn w:val="Normal"/>
    <w:next w:val="Normal"/>
    <w:link w:val="IntenseQuoteChar"/>
    <w:uiPriority w:val="30"/>
    <w:qFormat/>
    <w:rsid w:val="00127ba8"/>
    <w:pPr>
      <w:widowControl/>
      <w:pBdr>
        <w:top w:val="single" w:sz="4" w:space="10" w:color="2F5496" w:themeColor="accent1" w:themeShade="bf"/>
        <w:bottom w:val="single" w:sz="4" w:space="10" w:color="2F5496" w:themeColor="accent1" w:themeShade="bf"/>
      </w:pBdr>
      <w:overflowPunct w:val="false"/>
      <w:spacing w:lineRule="auto" w:line="278" w:before="360" w:after="360"/>
      <w:ind w:start="864" w:end="864"/>
      <w:jc w:val="center"/>
      <w:textAlignment w:val="auto"/>
    </w:pPr>
    <w:rPr>
      <w:rFonts w:ascii="Calibri" w:hAnsi="Calibri" w:eastAsia="Calibri" w:cs="" w:asciiTheme="minorHAnsi" w:cstheme="minorBidi" w:eastAsiaTheme="minorHAnsi" w:hAnsiTheme="minorHAnsi"/>
      <w:i/>
      <w:iCs/>
      <w:color w:themeColor="accent1" w:themeShade="bf" w:val="2F5496"/>
      <w:kern w:val="2"/>
      <w:szCs w:val="24"/>
      <w:lang w:val="en-CA" w:eastAsia="en-US"/>
      <w14:ligatures w14:val="standardContextual"/>
    </w:rPr>
  </w:style>
  <w:style w:type="paragraph" w:styleId="Legal2" w:customStyle="1">
    <w:name w:val="Legal 2"/>
    <w:basedOn w:val="Normal"/>
    <w:qFormat/>
    <w:rsid w:val="00127ba8"/>
    <w:pPr/>
    <w:rPr/>
  </w:style>
  <w:style w:type="paragraph" w:styleId="western" w:customStyle="1">
    <w:name w:val="western"/>
    <w:basedOn w:val="Normal"/>
    <w:qFormat/>
    <w:rsid w:val="002c52b5"/>
    <w:pPr>
      <w:widowControl/>
      <w:overflowPunct w:val="false"/>
      <w:spacing w:beforeAutospacing="1" w:afterAutospacing="1"/>
      <w:textAlignment w:val="auto"/>
    </w:pPr>
    <w:rPr>
      <w:color w:val="000000"/>
      <w:szCs w:val="24"/>
      <w:lang w:val="en-CA" w:eastAsia="en-U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1618f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43</TotalTime>
  <Application>LibreOffice/26.2.1.2$Windows_X86_64 LibreOffice_project/620$Build-2</Application>
  <AppVersion>15.0000</AppVersion>
  <Pages>2</Pages>
  <Words>542</Words>
  <Characters>2828</Characters>
  <CharactersWithSpaces>3341</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2025-08-14T15:28:00Z</dcterms:created>
  <dc:creator>Gitashu Jain</dc:creator>
  <dc:description/>
  <dc:language>en-US</dc:language>
  <cp:lastModifiedBy>Adam Strombergsson-DeNora</cp:lastModifiedBy>
  <dcterms:modified xsi:type="dcterms:W3CDTF">2026-08-20T14:41:53Z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