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AN AGREEMENT TO PURCHASE SHARES IN A BODY CORPORATE</w:t>
      </w:r>
    </w:p>
    <w:p>
      <w:pPr>
        <w:pStyle w:val="Normal"/>
        <w:jc w:val="center"/>
        <w:rPr>
          <w:b/>
          <w:bCs/>
        </w:rPr>
      </w:pPr>
      <w:r>
        <w:rPr>
          <w:b/>
          <w:bCs/>
        </w:rPr>
        <w:t>AND TERMS RELATING THERETO</w:t>
      </w:r>
    </w:p>
    <w:p>
      <w:pPr>
        <w:pStyle w:val="Normal"/>
        <w:jc w:val="center"/>
        <w:rPr/>
      </w:pPr>
      <w:r>
        <w:rPr/>
      </w:r>
    </w:p>
    <w:p>
      <w:pPr>
        <w:pStyle w:val="Normal"/>
        <w:rPr/>
      </w:pPr>
      <w:r>
        <w:rPr/>
        <w:t>BETWEEN</w:t>
      </w:r>
    </w:p>
    <w:p>
      <w:pPr>
        <w:pStyle w:val="Normal"/>
        <w:rPr/>
      </w:pPr>
      <w:r>
        <w:rPr/>
      </w:r>
    </w:p>
    <w:p>
      <w:pPr>
        <w:pStyle w:val="Normal"/>
        <w:jc w:val="center"/>
        <w:rPr/>
      </w:pPr>
      <w:r>
        <w:rPr/>
      </w:r>
    </w:p>
    <w:p>
      <w:pPr>
        <w:pStyle w:val="Normal"/>
        <w:jc w:val="center"/>
        <w:rPr>
          <w:i/>
          <w:iCs/>
        </w:rPr>
      </w:pPr>
      <w:r>
        <w:rPr>
          <w:i/>
          <w:iCs/>
        </w:rPr>
        <w:t xml:space="preserve">a corporation incorporated pursuant to the laws of the </w:t>
      </w:r>
      <w:r>
        <w:rPr>
          <w:i/>
          <w:iCs/>
          <w:shd w:fill="FFFF00" w:val="clear"/>
        </w:rPr>
        <w:t>Territory of Yukon</w:t>
      </w:r>
    </w:p>
    <w:p>
      <w:pPr>
        <w:pStyle w:val="Normal"/>
        <w:jc w:val="end"/>
        <w:rPr/>
      </w:pPr>
      <w:r>
        <w:rPr/>
        <w:t>vendor</w:t>
      </w:r>
    </w:p>
    <w:p>
      <w:pPr>
        <w:pStyle w:val="Normal"/>
        <w:jc w:val="center"/>
        <w:rPr/>
      </w:pPr>
      <w:r>
        <w:rPr/>
      </w:r>
    </w:p>
    <w:p>
      <w:pPr>
        <w:pStyle w:val="Normal"/>
        <w:jc w:val="center"/>
        <w:rPr/>
      </w:pPr>
      <w:r>
        <w:rPr/>
        <w:t>- and -</w:t>
      </w:r>
    </w:p>
    <w:p>
      <w:pPr>
        <w:pStyle w:val="Normal"/>
        <w:jc w:val="center"/>
        <w:rPr/>
      </w:pPr>
      <w:r>
        <w:rPr/>
      </w:r>
    </w:p>
    <w:p>
      <w:pPr>
        <w:pStyle w:val="Normal"/>
        <w:jc w:val="center"/>
        <w:rPr/>
      </w:pPr>
      <w:r>
        <w:rPr/>
      </w:r>
    </w:p>
    <w:p>
      <w:pPr>
        <w:pStyle w:val="Normal"/>
        <w:jc w:val="center"/>
        <w:rPr>
          <w:i/>
          <w:iCs/>
        </w:rPr>
      </w:pPr>
      <w:r>
        <w:rPr>
          <w:i/>
          <w:iCs/>
        </w:rPr>
        <w:t xml:space="preserve">a corporation incorporated pursuant to the laws of the </w:t>
      </w:r>
      <w:r>
        <w:rPr>
          <w:i/>
          <w:iCs/>
          <w:shd w:fill="FFFF00" w:val="clear"/>
        </w:rPr>
        <w:t>Territory of Yukon</w:t>
      </w:r>
    </w:p>
    <w:p>
      <w:pPr>
        <w:pStyle w:val="Normal"/>
        <w:jc w:val="end"/>
        <w:rPr/>
      </w:pPr>
      <w:r>
        <w:rPr/>
        <w:t>purchaser</w:t>
      </w:r>
    </w:p>
    <w:p>
      <w:pPr>
        <w:pStyle w:val="Normal"/>
        <w:jc w:val="end"/>
        <w:rPr/>
      </w:pPr>
      <w:r>
        <w:rPr/>
      </w:r>
    </w:p>
    <w:p>
      <w:pPr>
        <w:pStyle w:val="Normal"/>
        <w:jc w:val="center"/>
        <w:rPr/>
      </w:pPr>
      <w:r>
        <w:rPr/>
        <w:t xml:space="preserve">- </w:t>
      </w:r>
      <w:r>
        <w:rPr/>
        <w:t>and -</w:t>
      </w:r>
    </w:p>
    <w:p>
      <w:pPr>
        <w:pStyle w:val="Normal"/>
        <w:jc w:val="center"/>
        <w:rPr/>
      </w:pPr>
      <w:r>
        <w:rPr/>
      </w:r>
    </w:p>
    <w:p>
      <w:pPr>
        <w:pStyle w:val="Normal"/>
        <w:jc w:val="center"/>
        <w:rPr>
          <w:i/>
          <w:iCs/>
        </w:rPr>
      </w:pPr>
      <w:r>
        <w:rPr>
          <w:i/>
          <w:iCs/>
        </w:rPr>
        <w:t xml:space="preserve">a corporation incorporated pursuant to the laws of the </w:t>
      </w:r>
      <w:r>
        <w:rPr>
          <w:i/>
          <w:iCs/>
          <w:shd w:fill="FFFF00" w:val="clear"/>
        </w:rPr>
        <w:t>Territory of Yukon</w:t>
      </w:r>
    </w:p>
    <w:p>
      <w:pPr>
        <w:pStyle w:val="Normal"/>
        <w:jc w:val="end"/>
        <w:rPr>
          <w:i w:val="false"/>
          <w:iCs w:val="false"/>
        </w:rPr>
      </w:pPr>
      <w:r>
        <w:rPr>
          <w:i w:val="false"/>
          <w:iCs w:val="false"/>
        </w:rPr>
        <w:t>corporation</w:t>
      </w:r>
    </w:p>
    <w:p>
      <w:pPr>
        <w:pStyle w:val="Normal"/>
        <w:jc w:val="center"/>
        <w:rPr/>
      </w:pPr>
      <w:r>
        <w:rPr/>
      </w:r>
    </w:p>
    <w:p>
      <w:pPr>
        <w:pStyle w:val="Normal"/>
        <w:jc w:val="end"/>
        <w:rPr/>
      </w:pPr>
      <w:r>
        <w:rPr/>
      </w:r>
    </w:p>
    <w:p>
      <w:pPr>
        <w:pStyle w:val="Normal"/>
        <w:ind w:hanging="283" w:start="283"/>
        <w:rPr/>
      </w:pPr>
      <w:r>
        <w:rPr/>
        <w:t>WHEREAS, the vendor owns one hundred per-cent of the authorized capital and shares of the corporation;</w:t>
      </w:r>
    </w:p>
    <w:p>
      <w:pPr>
        <w:pStyle w:val="Normal"/>
        <w:ind w:hanging="283" w:start="283"/>
        <w:rPr/>
      </w:pPr>
      <w:r>
        <w:rPr/>
      </w:r>
    </w:p>
    <w:p>
      <w:pPr>
        <w:pStyle w:val="Normal"/>
        <w:ind w:hanging="283" w:start="283"/>
        <w:rPr/>
      </w:pPr>
      <w:r>
        <w:rPr/>
        <w:t>AND WHEREAS, the corporation is a going concern that operates a plumbing business (the “business”);</w:t>
      </w:r>
    </w:p>
    <w:p>
      <w:pPr>
        <w:pStyle w:val="Normal"/>
        <w:ind w:hanging="283" w:start="283"/>
        <w:rPr/>
      </w:pPr>
      <w:r>
        <w:rPr/>
      </w:r>
    </w:p>
    <w:p>
      <w:pPr>
        <w:pStyle w:val="Normal"/>
        <w:ind w:hanging="283" w:start="283"/>
        <w:rPr/>
      </w:pPr>
      <w:r>
        <w:rPr/>
        <w:t>AND WHEREAS, the vendor has agreed to all of the authorized capital and shares of the corporation to the purchaser;</w:t>
      </w:r>
    </w:p>
    <w:p>
      <w:pPr>
        <w:pStyle w:val="Normal"/>
        <w:ind w:hanging="283" w:start="283"/>
        <w:rPr/>
      </w:pPr>
      <w:r>
        <w:rPr/>
      </w:r>
    </w:p>
    <w:p>
      <w:pPr>
        <w:pStyle w:val="Normal"/>
        <w:ind w:hanging="283" w:start="283"/>
        <w:rPr/>
      </w:pPr>
      <w:r>
        <w:rPr/>
        <w:t>AND WHEREAS, the purchaser has, in consideration of this agreement and its promise to assume the corporation’s liabilities;</w:t>
      </w:r>
    </w:p>
    <w:p>
      <w:pPr>
        <w:pStyle w:val="Normal"/>
        <w:ind w:hanging="283" w:start="283"/>
        <w:rPr/>
      </w:pPr>
      <w:r>
        <w:rPr/>
      </w:r>
    </w:p>
    <w:p>
      <w:pPr>
        <w:pStyle w:val="Normal"/>
        <w:ind w:hanging="283" w:start="283"/>
        <w:rPr/>
      </w:pPr>
      <w:r>
        <w:rPr/>
        <w:t>AND WHEREAS, the purchaser relies on the vendor’s representations and warranties regarding the corporation’s business and liabilities;</w:t>
      </w:r>
    </w:p>
    <w:p>
      <w:pPr>
        <w:pStyle w:val="Normal"/>
        <w:ind w:hanging="283" w:start="283"/>
        <w:rPr/>
      </w:pPr>
      <w:r>
        <w:rPr/>
      </w:r>
    </w:p>
    <w:p>
      <w:pPr>
        <w:pStyle w:val="Normal"/>
        <w:ind w:hanging="283" w:start="283"/>
        <w:rPr/>
      </w:pPr>
      <w:r>
        <w:rPr/>
        <w:t>NOW THEREFORE, THE PARTIES AGREE AS FOLLOWS –</w:t>
      </w:r>
    </w:p>
    <w:p>
      <w:pPr>
        <w:pStyle w:val="Normal"/>
        <w:ind w:hanging="283" w:start="283"/>
        <w:rPr/>
      </w:pPr>
      <w:r>
        <w:rPr/>
      </w:r>
    </w:p>
    <w:p>
      <w:pPr>
        <w:pStyle w:val="Normal"/>
        <w:ind w:hanging="283" w:start="283"/>
        <w:rPr/>
      </w:pPr>
      <w:r>
        <w:rPr/>
      </w:r>
    </w:p>
    <w:p>
      <w:pPr>
        <w:pStyle w:val="Normal"/>
        <w:spacing w:lineRule="auto" w:line="480"/>
        <w:ind w:hanging="340" w:start="340"/>
        <w:rPr/>
      </w:pPr>
      <w:r>
        <w:rPr/>
      </w:r>
      <w:r>
        <w:br w:type="page"/>
      </w:r>
    </w:p>
    <w:p>
      <w:pPr>
        <w:pStyle w:val="Normal"/>
        <w:spacing w:lineRule="auto" w:line="480" w:before="0" w:after="0"/>
        <w:rPr>
          <w:b/>
          <w:bCs/>
        </w:rPr>
      </w:pPr>
      <w:r>
        <w:rPr>
          <w:b/>
          <w:bCs/>
        </w:rPr>
        <w:t>Part I – Interpretation</w:t>
      </w:r>
    </w:p>
    <w:p>
      <w:pPr>
        <w:pStyle w:val="Normal"/>
        <w:spacing w:lineRule="auto" w:line="480"/>
        <w:rPr/>
      </w:pPr>
      <w:r>
        <w:rPr>
          <w:i/>
          <w:iCs/>
        </w:rPr>
        <w:t>Definitions</w:t>
      </w:r>
    </w:p>
    <w:p>
      <w:pPr>
        <w:pStyle w:val="Normal"/>
        <w:numPr>
          <w:ilvl w:val="0"/>
          <w:numId w:val="1"/>
        </w:numPr>
        <w:spacing w:lineRule="auto" w:line="480"/>
        <w:ind w:hanging="340" w:start="340"/>
        <w:rPr/>
      </w:pPr>
      <w:r>
        <w:rPr/>
        <w:t>In this agreement,</w:t>
      </w:r>
    </w:p>
    <w:p>
      <w:pPr>
        <w:pStyle w:val="BodyText"/>
        <w:spacing w:lineRule="auto" w:line="480"/>
        <w:ind w:hanging="397" w:start="397"/>
        <w:rPr/>
      </w:pPr>
      <w:r>
        <w:rPr>
          <w:rFonts w:ascii="Times New Roman" w:hAnsi="Times New Roman"/>
        </w:rPr>
        <w:t>‘</w:t>
      </w:r>
      <w:r>
        <w:rPr>
          <w:rFonts w:ascii="Times New Roman" w:hAnsi="Times New Roman"/>
        </w:rPr>
        <w:t>confidential information’ means all intellectual property, proprietary data, and sensitive details associated with the;</w:t>
      </w:r>
    </w:p>
    <w:p>
      <w:pPr>
        <w:pStyle w:val="BodyText"/>
        <w:numPr>
          <w:ilvl w:val="0"/>
          <w:numId w:val="2"/>
        </w:numPr>
        <w:spacing w:lineRule="auto" w:line="480"/>
        <w:rPr/>
      </w:pPr>
      <w:r>
        <w:rPr>
          <w:rFonts w:ascii="Times New Roman" w:hAnsi="Times New Roman"/>
        </w:rPr>
        <w:t>proprietary processes and value-engineering techniques learned or disclosed, verbally or in writing, during the performance of this agreement; and</w:t>
      </w:r>
    </w:p>
    <w:p>
      <w:pPr>
        <w:pStyle w:val="BodyText"/>
        <w:numPr>
          <w:ilvl w:val="0"/>
          <w:numId w:val="2"/>
        </w:numPr>
        <w:spacing w:lineRule="auto" w:line="480"/>
        <w:rPr/>
      </w:pPr>
      <w:r>
        <w:rPr>
          <w:rFonts w:ascii="Times New Roman" w:hAnsi="Times New Roman"/>
        </w:rPr>
        <w:t>any other information marked as confidential or reasonably understood to be confidential in the context of the performance of this agreement.</w:t>
      </w:r>
    </w:p>
    <w:p>
      <w:pPr>
        <w:pStyle w:val="BodyText"/>
        <w:spacing w:lineRule="auto" w:line="480"/>
        <w:ind w:hanging="397" w:start="397"/>
        <w:rPr/>
      </w:pPr>
      <w:r>
        <w:rPr>
          <w:rFonts w:ascii="Times New Roman" w:hAnsi="Times New Roman"/>
        </w:rPr>
        <w:t>‘</w:t>
      </w:r>
      <w:r>
        <w:rPr>
          <w:rFonts w:ascii="Times New Roman" w:hAnsi="Times New Roman"/>
        </w:rPr>
        <w:t>force majeure’ means a fire not caused by a party to this agreement, unusual delay by common carriers, unavoidable casualties, property damage and/or other vandalism not caused by a party to this agreement, acts of God, natural disasters, exceptional acts of government or regulatory authorities, pandemic, terrorism, civil unrest, or the failure by a government or regulatory authority to promptly carry out required servicing works or inspections.</w:t>
      </w:r>
    </w:p>
    <w:p>
      <w:pPr>
        <w:pStyle w:val="BodyText"/>
        <w:spacing w:lineRule="auto" w:line="480"/>
        <w:ind w:hanging="397" w:start="397"/>
        <w:rPr/>
      </w:pPr>
      <w:r>
        <w:rPr/>
        <w:t>‘</w:t>
      </w:r>
      <w:r>
        <w:rPr/>
        <w:t xml:space="preserve">statute’ means documents enacted by the </w:t>
      </w:r>
      <w:r>
        <w:rPr>
          <w:shd w:fill="FFFF00" w:val="clear"/>
        </w:rPr>
        <w:t>Legislature of the Territory of Yukon</w:t>
      </w:r>
      <w:r>
        <w:rPr/>
        <w:t xml:space="preserve"> or the Parliament of Canada that are published in the annual or consolidated statutes of those respective legislatures, any regulations made under the authority of those documents, any regulations or orders-in-council made under the authority of the Royal prerogative, any municipal by-law that may affect the parties or the development property, and any order issued by a municipal government that may affect the parties or the development property.</w:t>
      </w:r>
    </w:p>
    <w:p>
      <w:pPr>
        <w:pStyle w:val="BodyText"/>
        <w:spacing w:lineRule="auto" w:line="480"/>
        <w:ind w:hanging="397" w:start="397"/>
        <w:rPr/>
      </w:pPr>
      <w:r>
        <w:rPr/>
        <w:t>‘</w:t>
      </w:r>
      <w:r>
        <w:rPr/>
        <w:t>accountant’ means the accountant retained by the vendor to prepare the Closing Date Financial Statements;</w:t>
      </w:r>
    </w:p>
    <w:p>
      <w:pPr>
        <w:pStyle w:val="BodyText"/>
        <w:spacing w:lineRule="auto" w:line="480"/>
        <w:ind w:hanging="397" w:start="397"/>
        <w:rPr/>
      </w:pPr>
      <w:r>
        <w:rPr/>
        <w:t>‘</w:t>
      </w:r>
      <w:r>
        <w:rPr/>
        <w:t xml:space="preserve">accounting principles’ or ‘generally accepted accounting principles’ means the generally accepted accounting principles in effect in Canada at the date of determination as recommended in Part II – Accounting Standards for Enterprises of the </w:t>
      </w:r>
      <w:r>
        <w:rPr>
          <w:i/>
          <w:iCs/>
        </w:rPr>
        <w:t>Handbook of the Canadian Institute of Chartered Accountants</w:t>
      </w:r>
      <w:r>
        <w:rPr/>
        <w:t xml:space="preserve"> and consistently applied;</w:t>
      </w:r>
    </w:p>
    <w:p>
      <w:pPr>
        <w:pStyle w:val="BodyText"/>
        <w:spacing w:lineRule="auto" w:line="480"/>
        <w:ind w:hanging="397" w:start="397"/>
        <w:rPr/>
      </w:pPr>
      <w:r>
        <w:rPr/>
        <w:t>‘</w:t>
      </w:r>
      <w:r>
        <w:rPr/>
        <w:t>books and records’ means all books and records of the corporation or of the vendor relating to the corporation including, without limitation, financial, corporate and operations books and records, books of account, sales and purchase records, tax records, lists of suppliers and customers, formulae, drawings, engineering information, computer programs, software programs, business reports, plans and projections, research and development records, personnel records, manuals and all other documents, files, records, correspondence and other data and information, financial or otherwise;</w:t>
      </w:r>
    </w:p>
    <w:p>
      <w:pPr>
        <w:pStyle w:val="BodyText"/>
        <w:spacing w:lineRule="auto" w:line="480"/>
        <w:ind w:hanging="397" w:start="397"/>
        <w:rPr/>
      </w:pPr>
      <w:r>
        <w:rPr/>
        <w:t>‘</w:t>
      </w:r>
      <w:r>
        <w:rPr/>
        <w:t>closing date’ means the date on which the sale and purchase of the shares is completed;</w:t>
      </w:r>
    </w:p>
    <w:p>
      <w:pPr>
        <w:pStyle w:val="BodyText"/>
        <w:spacing w:lineRule="auto" w:line="480"/>
        <w:ind w:hanging="397" w:start="397"/>
        <w:rPr/>
      </w:pPr>
      <w:r>
        <w:rPr/>
        <w:t>‘</w:t>
      </w:r>
      <w:r>
        <w:rPr/>
        <w:t xml:space="preserve">closing date financial statements’ means the financial statements of the corporation, consisting of a balance sheet, a statement of earnings and deficit and a statement of cash flows, for and in respect of the period ending on the Closing Date and prepared in accordance with the Accounting Principles; </w:t>
      </w:r>
    </w:p>
    <w:p>
      <w:pPr>
        <w:pStyle w:val="BodyText"/>
        <w:spacing w:lineRule="auto" w:line="480"/>
        <w:ind w:hanging="397" w:start="397"/>
        <w:rPr/>
      </w:pPr>
      <w:r>
        <w:rPr/>
        <w:t>‘</w:t>
      </w:r>
      <w:r>
        <w:rPr/>
        <w:t>independent accountant’ means an accountant agreed between the parties, which has not performed any audit, tax or other accounting services for the corporation, the vendor or the purchaser in the previous three (3) years, and does not have a conflict of interest with any party and holds a chartered professional accountant designation;</w:t>
      </w:r>
    </w:p>
    <w:p>
      <w:pPr>
        <w:pStyle w:val="BodyText"/>
        <w:spacing w:lineRule="auto" w:line="480"/>
        <w:ind w:hanging="397" w:start="397"/>
        <w:rPr/>
      </w:pPr>
      <w:r>
        <w:rPr/>
        <w:t>‘</w:t>
      </w:r>
      <w:r>
        <w:rPr/>
        <w:t xml:space="preserve">material adverse effect’ means any one or more changes, events or occurrences which, either individually or in the aggregate, are material and adverse to the business, operations, results of operations, properties, assets, liabilities, prospects, obligations (whether absolute, accrued, conditional or otherwise) or condition (financial of other otherwise) of the business or of the corporation; </w:t>
      </w:r>
    </w:p>
    <w:p>
      <w:pPr>
        <w:pStyle w:val="BodyText"/>
        <w:spacing w:lineRule="auto" w:line="480"/>
        <w:ind w:hanging="397" w:start="397"/>
        <w:rPr/>
      </w:pPr>
      <w:r>
        <w:rPr/>
        <w:t>‘</w:t>
      </w:r>
      <w:r>
        <w:rPr/>
        <w:t xml:space="preserve">ordinary course of business’ means, with respect to any action taken by the corporation, that such action is consistent with the corporation’s past practice and custom and is taken in the normal day-to-day operations of the corporation; </w:t>
      </w:r>
    </w:p>
    <w:p>
      <w:pPr>
        <w:pStyle w:val="BodyText"/>
        <w:spacing w:lineRule="auto" w:line="480"/>
        <w:ind w:hanging="397" w:start="397"/>
        <w:rPr/>
      </w:pPr>
      <w:r>
        <w:rPr>
          <w:shd w:fill="FFFF00" w:val="clear"/>
        </w:rPr>
        <w:t>‘</w:t>
      </w:r>
      <w:r>
        <w:rPr>
          <w:shd w:fill="FFFF00" w:val="clear"/>
        </w:rPr>
        <w:t>purchased shares’ means all of the issued and outstanding shares of the corporation;</w:t>
      </w:r>
      <w:r>
        <w:rPr/>
        <w:t xml:space="preserve"> </w:t>
      </w:r>
    </w:p>
    <w:p>
      <w:pPr>
        <w:pStyle w:val="BodyText"/>
        <w:spacing w:lineRule="auto" w:line="480"/>
        <w:ind w:hanging="397" w:start="397"/>
        <w:rPr/>
      </w:pPr>
      <w:r>
        <w:rPr/>
        <w:t>‘</w:t>
      </w:r>
      <w:r>
        <w:rPr/>
        <w:t>shareholder loans’ means those loans owed by the corporation to the vendor;</w:t>
      </w:r>
    </w:p>
    <w:p>
      <w:pPr>
        <w:pStyle w:val="BodyText"/>
        <w:spacing w:lineRule="auto" w:line="480"/>
        <w:ind w:hanging="397" w:start="397"/>
        <w:rPr/>
      </w:pPr>
      <w:r>
        <w:rPr/>
        <w:t>‘</w:t>
      </w:r>
      <w:r>
        <w:rPr/>
        <w:t xml:space="preserve">tax’ or ‘taxes’ means all federal, provincial, territorial, county, municipal, local or foreign taxes, duties, imposts, levies, assessments, tariffs and other charges imposed, assessed or collected by a governmental authority; </w:t>
      </w:r>
    </w:p>
    <w:p>
      <w:pPr>
        <w:pStyle w:val="BodyText"/>
        <w:spacing w:lineRule="auto" w:line="480"/>
        <w:ind w:hanging="397" w:start="397"/>
        <w:rPr/>
      </w:pPr>
      <w:r>
        <w:rPr/>
        <w:t>‘</w:t>
      </w:r>
      <w:r>
        <w:rPr/>
        <w:t xml:space="preserve">working capital’ means current assets (being cash, accounts receivable and prepaid expenses) less current liabilities, all as at the Closing Date. </w:t>
      </w:r>
    </w:p>
    <w:p>
      <w:pPr>
        <w:pStyle w:val="BodyText"/>
        <w:spacing w:lineRule="auto" w:line="480"/>
        <w:ind w:hanging="340" w:start="340"/>
        <w:rPr/>
      </w:pPr>
      <w:r>
        <w:rPr>
          <w:rFonts w:ascii="Times New Roman;serif" w:hAnsi="Times New Roman;serif"/>
          <w:i/>
        </w:rPr>
        <w:t>Rules of construction</w:t>
      </w:r>
    </w:p>
    <w:p>
      <w:pPr>
        <w:pStyle w:val="Normal"/>
        <w:numPr>
          <w:ilvl w:val="0"/>
          <w:numId w:val="1"/>
        </w:numPr>
        <w:spacing w:lineRule="auto" w:line="480"/>
        <w:ind w:hanging="340" w:start="340"/>
        <w:rPr/>
      </w:pPr>
      <w:r>
        <w:rPr/>
        <w:t xml:space="preserve">(1) </w:t>
        <w:tab/>
        <w:t>This agreement must be construed by -</w:t>
      </w:r>
    </w:p>
    <w:p>
      <w:pPr>
        <w:pStyle w:val="Normal"/>
        <w:numPr>
          <w:ilvl w:val="1"/>
          <w:numId w:val="1"/>
        </w:numPr>
        <w:spacing w:lineRule="auto" w:line="480"/>
        <w:ind w:hanging="340" w:start="737"/>
        <w:rPr/>
      </w:pPr>
      <w:r>
        <w:rPr/>
        <w:t>giving every provision in this agreement a commercially reasonable meaning capable of subsisting between the parties at the time at which the agreement was formed;</w:t>
      </w:r>
    </w:p>
    <w:p>
      <w:pPr>
        <w:pStyle w:val="Normal"/>
        <w:numPr>
          <w:ilvl w:val="1"/>
          <w:numId w:val="1"/>
        </w:numPr>
        <w:spacing w:lineRule="auto" w:line="480"/>
        <w:ind w:hanging="340" w:start="737"/>
        <w:rPr/>
      </w:pPr>
      <w:r>
        <w:rPr/>
        <w:t>presuming that every provision in this agreement is intended to create obligations and benefits as between the parties; and</w:t>
      </w:r>
    </w:p>
    <w:p>
      <w:pPr>
        <w:pStyle w:val="Normal"/>
        <w:numPr>
          <w:ilvl w:val="1"/>
          <w:numId w:val="1"/>
        </w:numPr>
        <w:spacing w:lineRule="auto" w:line="480"/>
        <w:ind w:hanging="340" w:start="737"/>
        <w:rPr/>
      </w:pPr>
      <w:r>
        <w:rPr/>
        <w:t>reading every provision in this agreement as a part of the entire agreement.</w:t>
      </w:r>
    </w:p>
    <w:p>
      <w:pPr>
        <w:pStyle w:val="Normal"/>
        <w:spacing w:lineRule="auto" w:line="480"/>
        <w:ind w:start="340"/>
        <w:rPr/>
      </w:pPr>
      <w:r>
        <w:rPr/>
        <w:t>(2) Where a matter or thing is expressed in the present tense, that matter or thing must be applied to the circumstances as they arise, so that effect may be given to this agreement operating in the circumstances as they arise.</w:t>
      </w:r>
    </w:p>
    <w:p>
      <w:pPr>
        <w:pStyle w:val="Normal"/>
        <w:spacing w:lineRule="auto" w:line="480"/>
        <w:ind w:start="340"/>
        <w:rPr/>
      </w:pPr>
      <w:r>
        <w:rPr/>
        <w:t xml:space="preserve">(3) If any act is required by the terms of this agreement to be performed on a day which is not a business day, the act will be valid if not performed on the next succeeding business day. In this agreement ‘business day’ means any day other than Saturday, Sunday or statutory or public holiday in Yukon. </w:t>
      </w:r>
    </w:p>
    <w:p>
      <w:pPr>
        <w:pStyle w:val="Normal"/>
        <w:spacing w:lineRule="auto" w:line="480"/>
        <w:ind w:start="340"/>
        <w:rPr/>
      </w:pPr>
      <w:r>
        <w:rPr/>
        <w:t xml:space="preserve">(4) Unless otherwise specified, any reference in this agreement to a statute includes all rules and regulations made under it and all applicable guidelines, bulletins or policies made in connection with it and which are legally binding, in each case as it or they may have been, or may from time to time be, amended or re-enacted. </w:t>
      </w:r>
    </w:p>
    <w:p>
      <w:pPr>
        <w:pStyle w:val="Normal"/>
        <w:spacing w:lineRule="auto" w:line="480"/>
        <w:ind w:start="340"/>
        <w:rPr/>
      </w:pPr>
      <w:r>
        <w:rPr/>
        <w:t xml:space="preserve">(5) Unless otherwise specified, all dollar amounts in this agreement, including the symbol “$”, refer to Canadian currency. </w:t>
      </w:r>
    </w:p>
    <w:p>
      <w:pPr>
        <w:pStyle w:val="Normal"/>
        <w:spacing w:lineRule="auto" w:line="480"/>
        <w:ind w:hanging="340" w:start="340"/>
        <w:rPr>
          <w:i/>
          <w:iCs/>
        </w:rPr>
      </w:pPr>
      <w:r>
        <w:rPr>
          <w:i/>
          <w:iCs/>
        </w:rPr>
        <w:t>Recitals</w:t>
      </w:r>
    </w:p>
    <w:p>
      <w:pPr>
        <w:pStyle w:val="Normal"/>
        <w:numPr>
          <w:ilvl w:val="0"/>
          <w:numId w:val="1"/>
        </w:numPr>
        <w:spacing w:lineRule="auto" w:line="480"/>
        <w:ind w:hanging="340" w:start="340"/>
        <w:rPr/>
      </w:pPr>
      <w:r>
        <w:rPr/>
        <w:t>The recitals to this agreement must be read as part of the agreement intended to assist in explaining the context in which the agreement is made and its purport and object.</w:t>
      </w:r>
    </w:p>
    <w:p>
      <w:pPr>
        <w:pStyle w:val="Normal"/>
        <w:spacing w:lineRule="auto" w:line="480"/>
        <w:ind w:hanging="340" w:start="340"/>
        <w:rPr>
          <w:i/>
          <w:iCs/>
        </w:rPr>
      </w:pPr>
      <w:r>
        <w:rPr>
          <w:i/>
          <w:iCs/>
        </w:rPr>
        <w:t>Headings and marginal notes</w:t>
      </w:r>
    </w:p>
    <w:p>
      <w:pPr>
        <w:pStyle w:val="Normal"/>
        <w:numPr>
          <w:ilvl w:val="0"/>
          <w:numId w:val="1"/>
        </w:numPr>
        <w:spacing w:lineRule="auto" w:line="480"/>
        <w:ind w:hanging="340" w:start="340"/>
        <w:rPr/>
      </w:pPr>
      <w:r>
        <w:rPr/>
        <w:t>Headings and marginal notes form no part of this agreement but are inserted for convenience of reference only.</w:t>
      </w:r>
    </w:p>
    <w:p>
      <w:pPr>
        <w:pStyle w:val="Normal"/>
        <w:spacing w:lineRule="auto" w:line="480"/>
        <w:ind w:hanging="340" w:start="340"/>
        <w:rPr>
          <w:i/>
          <w:iCs/>
        </w:rPr>
      </w:pPr>
      <w:r>
        <w:rPr>
          <w:i/>
          <w:iCs/>
        </w:rPr>
        <w:t>Number, gender, and persons</w:t>
      </w:r>
    </w:p>
    <w:p>
      <w:pPr>
        <w:pStyle w:val="Normal"/>
        <w:numPr>
          <w:ilvl w:val="0"/>
          <w:numId w:val="1"/>
        </w:numPr>
        <w:spacing w:lineRule="auto" w:line="480"/>
        <w:ind w:hanging="340" w:start="340"/>
        <w:rPr/>
      </w:pPr>
      <w:r>
        <w:rPr/>
        <w:t>In this agreement, if a word</w:t>
      </w:r>
    </w:p>
    <w:p>
      <w:pPr>
        <w:pStyle w:val="Normal"/>
        <w:spacing w:lineRule="auto" w:line="480"/>
        <w:ind w:start="567"/>
        <w:rPr/>
      </w:pPr>
      <w:r>
        <w:rPr/>
        <w:t xml:space="preserve">is singular, it includes the plural and vice versa; </w:t>
      </w:r>
    </w:p>
    <w:p>
      <w:pPr>
        <w:pStyle w:val="Normal"/>
        <w:spacing w:lineRule="auto" w:line="480"/>
        <w:ind w:start="567"/>
        <w:rPr/>
      </w:pPr>
      <w:r>
        <w:rPr/>
        <w:t xml:space="preserve">refers to a specific gender, it includes all genders; or </w:t>
      </w:r>
    </w:p>
    <w:p>
      <w:pPr>
        <w:pStyle w:val="Normal"/>
        <w:spacing w:lineRule="auto" w:line="480"/>
        <w:ind w:start="567"/>
        <w:rPr/>
      </w:pPr>
      <w:r>
        <w:rPr/>
        <w:t>refers to a "person," it includes individuals, corporations, partnerships, associations, trusts, unincorporated organizations, governmental bodies, or any other legal / business entities that may be recognized at law or in equity.</w:t>
      </w:r>
    </w:p>
    <w:p>
      <w:pPr>
        <w:pStyle w:val="Normal"/>
        <w:spacing w:lineRule="auto" w:line="480"/>
        <w:rPr>
          <w:i/>
          <w:iCs/>
        </w:rPr>
      </w:pPr>
      <w:r>
        <w:rPr>
          <w:i/>
          <w:iCs/>
        </w:rPr>
        <w:t>Parties</w:t>
      </w:r>
    </w:p>
    <w:p>
      <w:pPr>
        <w:pStyle w:val="Normal"/>
        <w:numPr>
          <w:ilvl w:val="0"/>
          <w:numId w:val="1"/>
        </w:numPr>
        <w:spacing w:lineRule="auto" w:line="480"/>
        <w:ind w:hanging="340" w:start="340"/>
        <w:rPr/>
      </w:pPr>
      <w:r>
        <w:rPr/>
        <w:t>Any reference to a party to this agreement includes a reference to that party’s agents, representatives, directors, authorized partners, its authorized employees, or its beneficiaries.</w:t>
      </w:r>
    </w:p>
    <w:p>
      <w:pPr>
        <w:pStyle w:val="Normal"/>
        <w:spacing w:lineRule="auto" w:line="480"/>
        <w:ind w:hanging="340" w:start="340"/>
        <w:rPr>
          <w:i/>
          <w:iCs/>
        </w:rPr>
      </w:pPr>
      <w:r>
        <w:rPr>
          <w:i/>
          <w:iCs/>
        </w:rPr>
        <w:t>Schedules and addenda</w:t>
      </w:r>
    </w:p>
    <w:p>
      <w:pPr>
        <w:pStyle w:val="Normal"/>
        <w:numPr>
          <w:ilvl w:val="0"/>
          <w:numId w:val="1"/>
        </w:numPr>
        <w:spacing w:lineRule="auto" w:line="480"/>
        <w:ind w:hanging="340" w:start="340"/>
        <w:rPr/>
      </w:pPr>
      <w:bookmarkStart w:id="0" w:name="__DdeLink__398_629417084"/>
      <w:r>
        <w:rPr/>
        <w:t>Any schedules, exhibits, or other addenda appended to this agreement at the time that this agreement is executed form part of this agreement if any provision of this agreement refers to the schedule, exhibit, or other addenda.</w:t>
      </w:r>
      <w:bookmarkEnd w:id="0"/>
    </w:p>
    <w:p>
      <w:pPr>
        <w:pStyle w:val="BodyText"/>
        <w:spacing w:lineRule="auto" w:line="480"/>
        <w:ind w:hanging="340" w:start="340"/>
        <w:rPr>
          <w:i/>
          <w:iCs/>
        </w:rPr>
      </w:pPr>
      <w:r>
        <w:rPr>
          <w:rFonts w:ascii="Times New Roman;serif" w:hAnsi="Times New Roman;serif"/>
          <w:i/>
          <w:iCs/>
        </w:rPr>
        <w:t>Incorporation by reference</w:t>
      </w:r>
    </w:p>
    <w:p>
      <w:pPr>
        <w:pStyle w:val="Normal"/>
        <w:numPr>
          <w:ilvl w:val="0"/>
          <w:numId w:val="1"/>
        </w:numPr>
        <w:spacing w:lineRule="auto" w:line="480"/>
        <w:ind w:hanging="340" w:start="340"/>
        <w:rPr/>
      </w:pPr>
      <w:r>
        <w:rPr/>
        <w:t>Any document or writing extrinsic to this agreement is incorporated by reference if the document is</w:t>
      </w:r>
    </w:p>
    <w:p>
      <w:pPr>
        <w:pStyle w:val="Normal"/>
        <w:numPr>
          <w:ilvl w:val="1"/>
          <w:numId w:val="1"/>
        </w:numPr>
        <w:spacing w:lineRule="auto" w:line="480"/>
        <w:ind w:hanging="340" w:start="737"/>
        <w:rPr/>
      </w:pPr>
      <w:r>
        <w:rPr/>
        <w:t>identified by full name or title within this agreement;</w:t>
      </w:r>
    </w:p>
    <w:p>
      <w:pPr>
        <w:pStyle w:val="Normal"/>
        <w:numPr>
          <w:ilvl w:val="1"/>
          <w:numId w:val="1"/>
        </w:numPr>
        <w:spacing w:lineRule="auto" w:line="480"/>
        <w:ind w:hanging="340" w:start="737"/>
        <w:rPr/>
      </w:pPr>
      <w:r>
        <w:rPr/>
        <w:t>executed by the one or more of the same parties as this agreement; and</w:t>
      </w:r>
    </w:p>
    <w:p>
      <w:pPr>
        <w:pStyle w:val="Normal"/>
        <w:numPr>
          <w:ilvl w:val="1"/>
          <w:numId w:val="1"/>
        </w:numPr>
        <w:spacing w:lineRule="auto" w:line="480"/>
        <w:ind w:hanging="340" w:start="737"/>
        <w:rPr/>
      </w:pPr>
      <w:r>
        <w:rPr/>
        <w:t>effective prior to or concurrent with the execution of this agreement.</w:t>
      </w:r>
    </w:p>
    <w:p>
      <w:pPr>
        <w:pStyle w:val="Normal"/>
        <w:spacing w:lineRule="auto" w:line="480"/>
        <w:rPr>
          <w:i/>
          <w:iCs/>
        </w:rPr>
      </w:pPr>
      <w:r>
        <w:rPr>
          <w:i/>
          <w:iCs/>
        </w:rPr>
        <w:t>Domicile</w:t>
      </w:r>
    </w:p>
    <w:p>
      <w:pPr>
        <w:pStyle w:val="Normal"/>
        <w:numPr>
          <w:ilvl w:val="0"/>
          <w:numId w:val="1"/>
        </w:numPr>
        <w:spacing w:lineRule="auto" w:line="480"/>
        <w:ind w:hanging="340" w:start="340"/>
        <w:rPr/>
      </w:pPr>
      <w:bookmarkStart w:id="1" w:name="__RefNumPara__1852_3293926641"/>
      <w:bookmarkEnd w:id="1"/>
      <w:r>
        <w:rPr/>
        <w:t xml:space="preserve">This agreement must be interpreted to accord with the laws of Yukon and applicable Canadian federal laws. </w:t>
      </w:r>
    </w:p>
    <w:p>
      <w:pPr>
        <w:pStyle w:val="Normal"/>
        <w:spacing w:lineRule="auto" w:line="480"/>
        <w:ind w:hanging="340" w:start="340"/>
        <w:rPr>
          <w:i/>
          <w:iCs/>
        </w:rPr>
      </w:pPr>
      <w:r>
        <w:rPr>
          <w:i/>
          <w:iCs/>
        </w:rPr>
        <w:t>Exclusions</w:t>
      </w:r>
    </w:p>
    <w:p>
      <w:pPr>
        <w:pStyle w:val="Normal"/>
        <w:numPr>
          <w:ilvl w:val="0"/>
          <w:numId w:val="1"/>
        </w:numPr>
        <w:spacing w:lineRule="auto" w:line="480"/>
        <w:ind w:hanging="340" w:start="340"/>
        <w:rPr/>
      </w:pPr>
      <w:r>
        <w:rPr/>
        <w:t xml:space="preserve">(1) Despite section </w:t>
      </w:r>
      <w:r>
        <w:rPr/>
        <w:fldChar w:fldCharType="begin"/>
      </w:r>
      <w:r>
        <w:rPr/>
        <w:instrText xml:space="preserve"> REF __RefNumPara__1852_3293926641 \r \r \h </w:instrText>
      </w:r>
      <w:r>
        <w:rPr/>
        <w:fldChar w:fldCharType="separate"/>
      </w:r>
      <w:r>
        <w:rPr/>
        <w:t>9</w:t>
      </w:r>
      <w:r>
        <w:rPr/>
        <w:fldChar w:fldCharType="end"/>
      </w:r>
      <w:r>
        <w:rPr/>
        <w:t>, no rule, principle, or maxim of common law or equity may be used to interpret this agreement if such rule, principle, or maxim is excluded from being used as an aid to interpreting this agreement.</w:t>
      </w:r>
    </w:p>
    <w:p>
      <w:pPr>
        <w:pStyle w:val="Normal"/>
        <w:numPr>
          <w:ilvl w:val="0"/>
          <w:numId w:val="1"/>
        </w:numPr>
        <w:spacing w:lineRule="auto" w:line="480"/>
        <w:ind w:hanging="340" w:start="340"/>
        <w:rPr/>
      </w:pPr>
      <w:r>
        <w:rPr/>
        <w:t xml:space="preserve">(2) The rule </w:t>
      </w:r>
      <w:r>
        <w:rPr>
          <w:i/>
          <w:iCs/>
        </w:rPr>
        <w:t>contra proferentum</w:t>
      </w:r>
      <w:r>
        <w:rPr/>
        <w:t xml:space="preserve"> by which any ambiguity in the text of this agreement is to be resolved against the party that drafted the ambiguous text is excluded from and may not be used to interpret any provision of this agreement.</w:t>
      </w:r>
    </w:p>
    <w:p>
      <w:pPr>
        <w:pStyle w:val="Normal"/>
        <w:spacing w:lineRule="auto" w:line="480"/>
        <w:rPr>
          <w:b/>
          <w:bCs/>
        </w:rPr>
      </w:pPr>
      <w:r>
        <w:rPr>
          <w:b/>
          <w:bCs/>
        </w:rPr>
        <w:t xml:space="preserve">Part II – Purchase and sale of shares </w:t>
      </w:r>
      <w:r>
        <w:rPr/>
        <w:t xml:space="preserve"> </w:t>
      </w:r>
    </w:p>
    <w:p>
      <w:pPr>
        <w:pStyle w:val="Normal"/>
        <w:spacing w:lineRule="auto" w:line="480"/>
        <w:rPr>
          <w:i/>
          <w:iCs/>
        </w:rPr>
      </w:pPr>
      <w:r>
        <w:rPr>
          <w:i/>
          <w:iCs/>
        </w:rPr>
        <w:t>Agreement to purchase</w:t>
      </w:r>
    </w:p>
    <w:p>
      <w:pPr>
        <w:pStyle w:val="Normal"/>
        <w:numPr>
          <w:ilvl w:val="0"/>
          <w:numId w:val="1"/>
        </w:numPr>
        <w:spacing w:lineRule="auto" w:line="480"/>
        <w:ind w:hanging="340" w:start="340"/>
        <w:rPr/>
      </w:pPr>
      <w:r>
        <w:rPr/>
        <w:t xml:space="preserve">Subject to the terms and conditions hereof, the vendor hereby agrees to sell, assign, and transfer the shares to the purchaser, and the purchaser agrees to purchase </w:t>
      </w:r>
      <w:r>
        <w:rPr>
          <w:shd w:fill="FFFF00" w:val="clear"/>
        </w:rPr>
        <w:t>all of the issued and outstanding shares of the corporation</w:t>
      </w:r>
      <w:r>
        <w:rPr/>
        <w:t xml:space="preserve">. </w:t>
      </w:r>
    </w:p>
    <w:p>
      <w:pPr>
        <w:pStyle w:val="Normal"/>
        <w:spacing w:lineRule="auto" w:line="480"/>
        <w:ind w:hanging="340" w:start="340"/>
        <w:rPr>
          <w:i/>
          <w:iCs/>
        </w:rPr>
      </w:pPr>
      <w:r>
        <w:rPr>
          <w:i/>
          <w:iCs/>
        </w:rPr>
        <w:t>Deposit</w:t>
      </w:r>
    </w:p>
    <w:p>
      <w:pPr>
        <w:pStyle w:val="Normal"/>
        <w:numPr>
          <w:ilvl w:val="0"/>
          <w:numId w:val="1"/>
        </w:numPr>
        <w:spacing w:lineRule="auto" w:line="480"/>
        <w:ind w:hanging="340" w:start="340"/>
        <w:rPr/>
      </w:pPr>
      <w:r>
        <w:rPr/>
        <w:t>(1) The purchaser will pay a deposit in consideration of this agreement by transferring $</w:t>
      </w:r>
      <w:r>
        <w:rPr>
          <w:shd w:fill="FFFF00" w:val="clear"/>
        </w:rPr>
        <w:t>XX</w:t>
      </w:r>
      <w:r>
        <w:rPr/>
        <w:t xml:space="preserve"> to the purchaser’s solicitor in trust pending completion of this agreement.</w:t>
      </w:r>
    </w:p>
    <w:p>
      <w:pPr>
        <w:pStyle w:val="Normal"/>
        <w:spacing w:lineRule="auto" w:line="480"/>
        <w:ind w:start="340"/>
        <w:rPr/>
      </w:pPr>
      <w:r>
        <w:rPr/>
        <w:t xml:space="preserve">(2) The purchaser’s solicitor may not release the deposit funds from its trust account without the vendor’s consent. </w:t>
      </w:r>
    </w:p>
    <w:p>
      <w:pPr>
        <w:pStyle w:val="Normal"/>
        <w:spacing w:lineRule="auto" w:line="480"/>
        <w:ind w:start="340"/>
        <w:rPr/>
      </w:pPr>
      <w:r>
        <w:rPr/>
        <w:t xml:space="preserve">(3) Despite sub-section (2), if this agreement is not completed because of the vendor’s default, the vendor is not entitled to the deposit. </w:t>
      </w:r>
    </w:p>
    <w:p>
      <w:pPr>
        <w:pStyle w:val="Normal"/>
        <w:spacing w:lineRule="auto" w:line="480"/>
        <w:ind w:start="340"/>
        <w:rPr/>
      </w:pPr>
      <w:r>
        <w:rPr/>
        <w:t xml:space="preserve">(4) If this agreement is not completed because of the purchaser’s default, the vendor may take possession of the deposit as liquidated damages. </w:t>
      </w:r>
    </w:p>
    <w:p>
      <w:pPr>
        <w:pStyle w:val="Normal"/>
        <w:spacing w:lineRule="auto" w:line="480"/>
        <w:ind w:start="340"/>
        <w:rPr/>
      </w:pPr>
      <w:r>
        <w:rPr/>
        <w:t>(5) Despite sub-section (2), if this agreement is not completed because of a default and sub-sections (3) or (4) apply, the purchaser’s solicitor will release the deposited funds from its trust account to the party entitled to the deposited funds.</w:t>
      </w:r>
    </w:p>
    <w:p>
      <w:pPr>
        <w:pStyle w:val="Normal"/>
        <w:spacing w:lineRule="auto" w:line="480"/>
        <w:rPr>
          <w:i/>
          <w:iCs/>
        </w:rPr>
      </w:pPr>
      <w:r>
        <w:rPr>
          <w:i/>
          <w:iCs/>
        </w:rPr>
        <w:t>Documents and data</w:t>
      </w:r>
    </w:p>
    <w:p>
      <w:pPr>
        <w:pStyle w:val="Normal"/>
        <w:numPr>
          <w:ilvl w:val="0"/>
          <w:numId w:val="1"/>
        </w:numPr>
        <w:spacing w:lineRule="auto" w:line="480"/>
        <w:ind w:hanging="340" w:start="340"/>
        <w:rPr/>
      </w:pPr>
      <w:r>
        <w:rPr/>
        <w:t xml:space="preserve">The vendor and purchaser acknowledge they have had full access to all documentation including all financial records of the business of every kind.  </w:t>
      </w:r>
    </w:p>
    <w:p>
      <w:pPr>
        <w:pStyle w:val="Normal"/>
        <w:spacing w:lineRule="auto" w:line="480"/>
        <w:ind w:hanging="340" w:start="340"/>
        <w:rPr>
          <w:i/>
          <w:iCs/>
        </w:rPr>
      </w:pPr>
      <w:r>
        <w:rPr>
          <w:i/>
          <w:iCs/>
        </w:rPr>
        <w:t>Disclosure</w:t>
      </w:r>
    </w:p>
    <w:p>
      <w:pPr>
        <w:pStyle w:val="Normal"/>
        <w:numPr>
          <w:ilvl w:val="0"/>
          <w:numId w:val="1"/>
        </w:numPr>
        <w:spacing w:lineRule="auto" w:line="480"/>
        <w:ind w:hanging="340" w:start="340"/>
        <w:rPr/>
      </w:pPr>
      <w:r>
        <w:rPr/>
        <w:t>The vendor must disclose the following information to the purchaser no more than seven (7) days after this agreement becomes effective:</w:t>
      </w:r>
    </w:p>
    <w:p>
      <w:pPr>
        <w:pStyle w:val="Normal"/>
        <w:numPr>
          <w:ilvl w:val="1"/>
          <w:numId w:val="1"/>
        </w:numPr>
        <w:spacing w:lineRule="auto" w:line="480"/>
        <w:ind w:hanging="340" w:start="680"/>
        <w:rPr/>
      </w:pPr>
      <w:r>
        <w:rPr/>
        <w:t>all contracts to which the corporation is party;</w:t>
      </w:r>
    </w:p>
    <w:p>
      <w:pPr>
        <w:pStyle w:val="Normal"/>
        <w:numPr>
          <w:ilvl w:val="1"/>
          <w:numId w:val="1"/>
        </w:numPr>
        <w:spacing w:lineRule="auto" w:line="480"/>
        <w:ind w:hanging="340" w:start="680"/>
        <w:rPr/>
      </w:pPr>
      <w:r>
        <w:rPr/>
        <w:t>all equipment leases to which the corporation is party;</w:t>
      </w:r>
    </w:p>
    <w:p>
      <w:pPr>
        <w:pStyle w:val="Normal"/>
        <w:numPr>
          <w:ilvl w:val="1"/>
          <w:numId w:val="1"/>
        </w:numPr>
        <w:spacing w:lineRule="auto" w:line="480"/>
        <w:ind w:hanging="340" w:start="680"/>
        <w:rPr/>
      </w:pPr>
      <w:r>
        <w:rPr/>
        <w:t>any and all intellectual property owned by the corporation;</w:t>
      </w:r>
    </w:p>
    <w:p>
      <w:pPr>
        <w:pStyle w:val="Normal"/>
        <w:numPr>
          <w:ilvl w:val="1"/>
          <w:numId w:val="1"/>
        </w:numPr>
        <w:spacing w:lineRule="auto" w:line="480"/>
        <w:ind w:hanging="340" w:start="680"/>
        <w:rPr/>
      </w:pPr>
      <w:r>
        <w:rPr/>
        <w:t>all leases to which the corporation is party;</w:t>
      </w:r>
    </w:p>
    <w:p>
      <w:pPr>
        <w:pStyle w:val="Normal"/>
        <w:numPr>
          <w:ilvl w:val="1"/>
          <w:numId w:val="1"/>
        </w:numPr>
        <w:spacing w:lineRule="auto" w:line="480"/>
        <w:ind w:hanging="340" w:start="680"/>
        <w:rPr/>
      </w:pPr>
      <w:r>
        <w:rPr/>
        <w:t>all licenses held by the corporation;</w:t>
      </w:r>
    </w:p>
    <w:p>
      <w:pPr>
        <w:pStyle w:val="Normal"/>
        <w:numPr>
          <w:ilvl w:val="1"/>
          <w:numId w:val="1"/>
        </w:numPr>
        <w:spacing w:lineRule="auto" w:line="480"/>
        <w:ind w:hanging="340" w:start="680"/>
        <w:rPr/>
      </w:pPr>
      <w:r>
        <w:rPr/>
        <w:t>any and all non-competition agreements to which the corporation is bound;</w:t>
      </w:r>
    </w:p>
    <w:p>
      <w:pPr>
        <w:pStyle w:val="Normal"/>
        <w:numPr>
          <w:ilvl w:val="1"/>
          <w:numId w:val="1"/>
        </w:numPr>
        <w:spacing w:lineRule="auto" w:line="480"/>
        <w:ind w:hanging="340" w:start="680"/>
        <w:rPr/>
      </w:pPr>
      <w:r>
        <w:rPr/>
        <w:t>evidence of title to any property owned by the corporation;</w:t>
      </w:r>
    </w:p>
    <w:p>
      <w:pPr>
        <w:pStyle w:val="Normal"/>
        <w:numPr>
          <w:ilvl w:val="1"/>
          <w:numId w:val="1"/>
        </w:numPr>
        <w:spacing w:lineRule="auto" w:line="480"/>
        <w:ind w:hanging="340" w:start="680"/>
        <w:rPr/>
      </w:pPr>
      <w:r>
        <w:rPr/>
        <w:t>any and all real estate lease agreements for properties owned by or occupied by the corporation;</w:t>
      </w:r>
    </w:p>
    <w:p>
      <w:pPr>
        <w:pStyle w:val="Normal"/>
        <w:numPr>
          <w:ilvl w:val="1"/>
          <w:numId w:val="1"/>
        </w:numPr>
        <w:spacing w:lineRule="auto" w:line="480"/>
        <w:ind w:hanging="340" w:start="680"/>
        <w:rPr/>
      </w:pPr>
      <w:r>
        <w:rPr/>
        <w:t>records relating to predecessor corporations and previous corporate names;</w:t>
      </w:r>
    </w:p>
    <w:p>
      <w:pPr>
        <w:pStyle w:val="Normal"/>
        <w:numPr>
          <w:ilvl w:val="1"/>
          <w:numId w:val="1"/>
        </w:numPr>
        <w:spacing w:lineRule="auto" w:line="480"/>
        <w:ind w:hanging="340" w:start="680"/>
        <w:rPr/>
      </w:pPr>
      <w:r>
        <w:rPr/>
        <w:t xml:space="preserve">a corporate profile report and certificate of status for the corporation; </w:t>
      </w:r>
    </w:p>
    <w:p>
      <w:pPr>
        <w:pStyle w:val="Normal"/>
        <w:numPr>
          <w:ilvl w:val="1"/>
          <w:numId w:val="1"/>
        </w:numPr>
        <w:spacing w:lineRule="auto" w:line="480"/>
        <w:ind w:hanging="340" w:start="680"/>
        <w:rPr/>
      </w:pPr>
      <w:r>
        <w:rPr/>
        <w:t>a list of the corporation’s assets and the location of these assets;</w:t>
      </w:r>
    </w:p>
    <w:p>
      <w:pPr>
        <w:pStyle w:val="Normal"/>
        <w:numPr>
          <w:ilvl w:val="1"/>
          <w:numId w:val="1"/>
        </w:numPr>
        <w:spacing w:lineRule="auto" w:line="480"/>
        <w:ind w:hanging="340" w:start="680"/>
        <w:rPr/>
      </w:pPr>
      <w:r>
        <w:rPr/>
        <w:t>a list of the corporation’s employees;</w:t>
      </w:r>
    </w:p>
    <w:p>
      <w:pPr>
        <w:pStyle w:val="Normal"/>
        <w:numPr>
          <w:ilvl w:val="1"/>
          <w:numId w:val="1"/>
        </w:numPr>
        <w:spacing w:lineRule="auto" w:line="480"/>
        <w:ind w:hanging="340" w:start="680"/>
        <w:rPr/>
      </w:pPr>
      <w:r>
        <w:rPr/>
        <w:t>a list of the corporation’s bank, credit card, line of credit, and investment accounts; and</w:t>
      </w:r>
    </w:p>
    <w:p>
      <w:pPr>
        <w:pStyle w:val="Normal"/>
        <w:numPr>
          <w:ilvl w:val="1"/>
          <w:numId w:val="1"/>
        </w:numPr>
        <w:spacing w:lineRule="auto" w:line="480"/>
        <w:ind w:hanging="340" w:start="680"/>
        <w:rPr/>
      </w:pPr>
      <w:r>
        <w:rPr/>
        <w:t>a list of the corporation’s debts and guarantees made by the corporation.</w:t>
      </w:r>
    </w:p>
    <w:p>
      <w:pPr>
        <w:pStyle w:val="Normal"/>
        <w:spacing w:lineRule="auto" w:line="480"/>
        <w:rPr>
          <w:i/>
          <w:iCs/>
        </w:rPr>
      </w:pPr>
      <w:r>
        <w:rPr>
          <w:i/>
          <w:iCs/>
        </w:rPr>
        <w:t>Purchase price and consideration</w:t>
      </w:r>
    </w:p>
    <w:p>
      <w:pPr>
        <w:pStyle w:val="Normal"/>
        <w:numPr>
          <w:ilvl w:val="0"/>
          <w:numId w:val="1"/>
        </w:numPr>
        <w:spacing w:lineRule="auto" w:line="480"/>
        <w:ind w:hanging="340" w:start="340"/>
        <w:rPr/>
      </w:pPr>
      <w:r>
        <w:rPr/>
        <w:t xml:space="preserve">(1) The consideration for the transfer of the shares is the purchaser’s </w:t>
      </w:r>
      <w:r>
        <w:rPr>
          <w:shd w:fill="FFFF00" w:val="clear"/>
        </w:rPr>
        <w:t>XX</w:t>
      </w:r>
      <w:r>
        <w:rPr/>
        <w:t xml:space="preserve"> as follows:</w:t>
      </w:r>
    </w:p>
    <w:p>
      <w:pPr>
        <w:pStyle w:val="Normal"/>
        <w:numPr>
          <w:ilvl w:val="1"/>
          <w:numId w:val="1"/>
        </w:numPr>
        <w:spacing w:lineRule="auto" w:line="480"/>
        <w:ind w:hanging="340" w:start="737"/>
        <w:rPr/>
      </w:pPr>
      <w:r>
        <w:rPr>
          <w:shd w:fill="FFFF00" w:val="clear"/>
        </w:rPr>
        <w:t>XX</w:t>
      </w:r>
      <w:r>
        <w:rPr/>
        <w:t xml:space="preserve">. </w:t>
      </w:r>
    </w:p>
    <w:p>
      <w:pPr>
        <w:pStyle w:val="Normal"/>
        <w:spacing w:lineRule="auto" w:line="480"/>
        <w:ind w:start="340"/>
        <w:rPr/>
      </w:pPr>
      <w:r>
        <w:rPr/>
        <w:t>(2) No other consideration is paid or intended.</w:t>
      </w:r>
    </w:p>
    <w:p>
      <w:pPr>
        <w:pStyle w:val="Normal"/>
        <w:spacing w:lineRule="auto" w:line="480"/>
        <w:rPr>
          <w:i/>
          <w:iCs/>
        </w:rPr>
      </w:pPr>
      <w:r>
        <w:rPr>
          <w:i/>
          <w:iCs/>
        </w:rPr>
        <w:t>Pre-existing contracts</w:t>
      </w:r>
    </w:p>
    <w:p>
      <w:pPr>
        <w:pStyle w:val="Normal"/>
        <w:numPr>
          <w:ilvl w:val="0"/>
          <w:numId w:val="1"/>
        </w:numPr>
        <w:spacing w:lineRule="auto" w:line="480"/>
        <w:ind w:hanging="340" w:start="340"/>
        <w:rPr>
          <w:lang w:val="en-US"/>
        </w:rPr>
      </w:pPr>
      <w:r>
        <w:rPr>
          <w:lang w:val="en-US"/>
        </w:rPr>
        <w:t>(1) This agreement and any document delivered under this agreement does not constitute an assignment or an attempted assignment of any contract, equipment lease, lease, or license contemplated to be assigned to the purchaser under this agreement:</w:t>
      </w:r>
    </w:p>
    <w:p>
      <w:pPr>
        <w:pStyle w:val="Normal"/>
        <w:numPr>
          <w:ilvl w:val="1"/>
          <w:numId w:val="1"/>
        </w:numPr>
        <w:spacing w:lineRule="auto" w:line="480"/>
        <w:ind w:hanging="340" w:start="680"/>
        <w:rPr>
          <w:lang w:val="en-US"/>
        </w:rPr>
      </w:pPr>
      <w:r>
        <w:rPr>
          <w:lang w:val="en-US"/>
        </w:rPr>
        <w:t>which is not assignable through the change of control of the Company without the consent of a third party if such consent has not been obtained and such assignment or attempted assignment would constitute a breach of such contract or agreement; or</w:t>
      </w:r>
    </w:p>
    <w:p>
      <w:pPr>
        <w:pStyle w:val="Normal"/>
        <w:numPr>
          <w:ilvl w:val="1"/>
          <w:numId w:val="1"/>
        </w:numPr>
        <w:spacing w:lineRule="auto" w:line="480"/>
        <w:ind w:hanging="340" w:start="680"/>
        <w:rPr>
          <w:lang w:val="en-US"/>
        </w:rPr>
      </w:pPr>
      <w:r>
        <w:rPr>
          <w:lang w:val="en-US"/>
        </w:rPr>
        <w:t>in respect of which the remedies for the enforcement of such contract or agreement available to the vendor would not pass to the purchaser.</w:t>
      </w:r>
    </w:p>
    <w:p>
      <w:pPr>
        <w:pStyle w:val="Normal"/>
        <w:spacing w:lineRule="auto" w:line="480"/>
        <w:ind w:hanging="340" w:start="680"/>
        <w:rPr>
          <w:lang w:val="en-US"/>
        </w:rPr>
      </w:pPr>
      <w:r>
        <w:rPr>
          <w:lang w:val="en-US"/>
        </w:rPr>
        <w:t>(2) The vendor must use best efforts to obtain third-party consents for change of control assignments.</w:t>
      </w:r>
    </w:p>
    <w:p>
      <w:pPr>
        <w:pStyle w:val="Normal"/>
        <w:spacing w:lineRule="auto" w:line="480"/>
        <w:ind w:hanging="340" w:start="680"/>
        <w:rPr>
          <w:lang w:val="en-US"/>
        </w:rPr>
      </w:pPr>
      <w:r>
        <w:rPr>
          <w:lang w:val="en-US"/>
        </w:rPr>
        <w:t>(3) The vendor is not required to pay any third-party fees or costs beyond existing contractual obligations when making best efforts pursuant to sub-section (2) unless such fee or cost is immediately reimbursed by the purchaser.</w:t>
      </w:r>
    </w:p>
    <w:p>
      <w:pPr>
        <w:pStyle w:val="Normal"/>
        <w:spacing w:lineRule="auto" w:line="480"/>
        <w:rPr>
          <w:lang w:val="en-US"/>
        </w:rPr>
      </w:pPr>
      <w:r>
        <w:rPr>
          <w:i/>
          <w:iCs/>
          <w:lang w:val="en-US"/>
        </w:rPr>
        <w:t>Adjustments to purchase price</w:t>
      </w:r>
      <w:r>
        <w:rPr>
          <w:lang w:val="en-US"/>
        </w:rPr>
        <w:t xml:space="preserve"> </w:t>
      </w:r>
    </w:p>
    <w:p>
      <w:pPr>
        <w:pStyle w:val="Normal"/>
        <w:numPr>
          <w:ilvl w:val="0"/>
          <w:numId w:val="1"/>
        </w:numPr>
        <w:spacing w:lineRule="auto" w:line="480"/>
        <w:ind w:hanging="340" w:start="340"/>
        <w:rPr>
          <w:lang w:val="en-US"/>
        </w:rPr>
      </w:pPr>
      <w:r>
        <w:rPr>
          <w:lang w:val="en-US"/>
        </w:rPr>
        <w:t>On closing, the parties will adjust the purchase price set out in this agreement by</w:t>
      </w:r>
    </w:p>
    <w:p>
      <w:pPr>
        <w:pStyle w:val="Normal"/>
        <w:numPr>
          <w:ilvl w:val="1"/>
          <w:numId w:val="1"/>
        </w:numPr>
        <w:spacing w:lineRule="auto" w:line="480"/>
        <w:ind w:hanging="283" w:start="737"/>
        <w:rPr>
          <w:lang w:val="en-US"/>
        </w:rPr>
      </w:pPr>
      <w:r>
        <w:rPr>
          <w:lang w:val="en-US"/>
        </w:rPr>
        <w:t>crediting the purchaser for the value of benefits lost to the corporation as a result of any contracts lost as a result of lack of third-party consents for change of control assignments; and</w:t>
      </w:r>
    </w:p>
    <w:p>
      <w:pPr>
        <w:pStyle w:val="Normal"/>
        <w:numPr>
          <w:ilvl w:val="1"/>
          <w:numId w:val="1"/>
        </w:numPr>
        <w:spacing w:lineRule="auto" w:line="480"/>
        <w:ind w:hanging="283" w:start="737"/>
        <w:rPr>
          <w:lang w:val="en-US"/>
        </w:rPr>
      </w:pPr>
      <w:r>
        <w:rPr>
          <w:lang w:val="en-US"/>
        </w:rPr>
        <w:t xml:space="preserve"> </w:t>
      </w:r>
      <w:r>
        <w:rPr>
          <w:lang w:val="en-US"/>
        </w:rPr>
        <w:t>crediting the purchaser for the difference in value between the book value of assets and the book value of liabilities.</w:t>
      </w:r>
    </w:p>
    <w:p>
      <w:pPr>
        <w:pStyle w:val="Normal"/>
        <w:spacing w:lineRule="auto" w:line="480"/>
        <w:rPr>
          <w:i/>
          <w:iCs/>
          <w:lang w:val="en-US"/>
        </w:rPr>
      </w:pPr>
      <w:r>
        <w:rPr>
          <w:i/>
          <w:iCs/>
          <w:lang w:val="en-US"/>
        </w:rPr>
        <w:t xml:space="preserve">Working Capital adjustments and Closing Date financial statements </w:t>
      </w:r>
    </w:p>
    <w:p>
      <w:pPr>
        <w:pStyle w:val="Normal"/>
        <w:numPr>
          <w:ilvl w:val="0"/>
          <w:numId w:val="1"/>
        </w:numPr>
        <w:spacing w:lineRule="auto" w:line="480"/>
        <w:ind w:hanging="363" w:start="426"/>
        <w:rPr>
          <w:lang w:val="en-US"/>
        </w:rPr>
      </w:pPr>
      <w:r>
        <w:rPr>
          <w:lang w:val="en-US"/>
        </w:rPr>
        <w:t xml:space="preserve">(1) The working capital reference amount is fixed at </w:t>
      </w:r>
      <w:r>
        <w:rPr>
          <w:shd w:fill="FFFF00" w:val="clear"/>
          <w:lang w:val="en-US"/>
        </w:rPr>
        <w:t>$XX</w:t>
      </w:r>
      <w:r>
        <w:rPr>
          <w:lang w:val="en-US"/>
        </w:rPr>
        <w:t xml:space="preserve">. </w:t>
      </w:r>
    </w:p>
    <w:p>
      <w:pPr>
        <w:pStyle w:val="Normal"/>
        <w:spacing w:lineRule="auto" w:line="480"/>
        <w:ind w:start="426"/>
        <w:rPr>
          <w:lang w:val="en-US"/>
        </w:rPr>
      </w:pPr>
      <w:r>
        <w:rPr>
          <w:lang w:val="en-US"/>
        </w:rPr>
        <w:t>(2) On closing,</w:t>
      </w:r>
    </w:p>
    <w:p>
      <w:pPr>
        <w:pStyle w:val="ListParagraph"/>
        <w:numPr>
          <w:ilvl w:val="1"/>
          <w:numId w:val="1"/>
        </w:numPr>
        <w:spacing w:lineRule="auto" w:line="480"/>
        <w:ind w:hanging="283" w:start="737"/>
        <w:rPr/>
      </w:pPr>
      <w:r>
        <w:rPr>
          <w:rFonts w:cs="Times New Roman" w:ascii="Times New Roman" w:hAnsi="Times New Roman"/>
          <w:lang w:val="en-US"/>
        </w:rPr>
        <w:t>where the working capital is less than the reference amount, the purchase price is reduced by the difference between the reference amount and the actual amount of working capital on a dollar-for-dollar basis; and</w:t>
      </w:r>
    </w:p>
    <w:p>
      <w:pPr>
        <w:pStyle w:val="ListParagraph"/>
        <w:numPr>
          <w:ilvl w:val="1"/>
          <w:numId w:val="1"/>
        </w:numPr>
        <w:spacing w:lineRule="auto" w:line="480"/>
        <w:ind w:hanging="283" w:start="737"/>
        <w:rPr>
          <w:rFonts w:ascii="Times New Roman" w:hAnsi="Times New Roman" w:cs="Times New Roman"/>
          <w:lang w:val="en-US"/>
        </w:rPr>
      </w:pPr>
      <w:r>
        <w:rPr>
          <w:rFonts w:cs="Times New Roman" w:ascii="Times New Roman" w:hAnsi="Times New Roman"/>
          <w:lang w:val="en-US"/>
        </w:rPr>
        <w:t>where the working capital is more than the reference amount, the purchase price is increased by the difference between the actual amount of working capital and the reference amount on a dollar-for-dollar basis.</w:t>
      </w:r>
    </w:p>
    <w:p>
      <w:pPr>
        <w:pStyle w:val="Normal"/>
        <w:spacing w:lineRule="auto" w:line="480"/>
        <w:ind w:start="426"/>
        <w:rPr>
          <w:lang w:val="en-US"/>
        </w:rPr>
      </w:pPr>
      <w:r>
        <w:rPr>
          <w:lang w:val="en-US"/>
        </w:rPr>
        <w:t>(3) As soon as reasonably practicable following the Closing Date, the vendor shall cause, at the vendor’s cost, the accountant to prepare the deliver to the purchaser:</w:t>
      </w:r>
    </w:p>
    <w:p>
      <w:pPr>
        <w:pStyle w:val="Normal"/>
        <w:numPr>
          <w:ilvl w:val="0"/>
          <w:numId w:val="4"/>
        </w:numPr>
        <w:spacing w:lineRule="auto" w:line="480"/>
        <w:ind w:hanging="283" w:start="737"/>
        <w:rPr>
          <w:lang w:val="en-US"/>
        </w:rPr>
      </w:pPr>
      <w:r>
        <w:rPr>
          <w:lang w:val="en-US"/>
        </w:rPr>
        <w:t>the Closing Date Financial Statements in draft form; and</w:t>
      </w:r>
    </w:p>
    <w:p>
      <w:pPr>
        <w:pStyle w:val="Normal"/>
        <w:numPr>
          <w:ilvl w:val="0"/>
          <w:numId w:val="4"/>
        </w:numPr>
        <w:spacing w:lineRule="auto" w:line="480"/>
        <w:ind w:hanging="283" w:start="737"/>
        <w:rPr>
          <w:lang w:val="en-US"/>
        </w:rPr>
      </w:pPr>
      <w:r>
        <w:rPr>
          <w:lang w:val="en-US"/>
        </w:rPr>
        <w:t xml:space="preserve">a statement setting forth the calculation of the working capital of the corporation as at the   Closing Date in draft form. </w:t>
      </w:r>
    </w:p>
    <w:p>
      <w:pPr>
        <w:pStyle w:val="Normal"/>
        <w:spacing w:lineRule="auto" w:line="480"/>
        <w:ind w:start="363"/>
        <w:rPr>
          <w:lang w:val="en-US"/>
        </w:rPr>
      </w:pPr>
      <w:r>
        <w:rPr>
          <w:lang w:val="en-US"/>
        </w:rPr>
        <w:t>(4) If the purchaser or vendor object to the draft financial statements or the working capital statement, the objecting party must deliver notice its objection within fifteen (15) days of receiving the statements.</w:t>
      </w:r>
    </w:p>
    <w:p>
      <w:pPr>
        <w:pStyle w:val="Normal"/>
        <w:spacing w:lineRule="auto" w:line="480"/>
        <w:ind w:start="363"/>
        <w:rPr>
          <w:lang w:val="en-US"/>
        </w:rPr>
      </w:pPr>
      <w:r>
        <w:rPr>
          <w:lang w:val="en-US"/>
        </w:rPr>
        <w:t xml:space="preserve">(5) The parties will work expeditiously and in good faith to attempt to resolve any dispute within a further period of fifteen (15) business days after the date of the notification of the dispute, failing which the dispute may be submitted by the purchaser or the vendor to the Independent Accountant for final determination. </w:t>
      </w:r>
    </w:p>
    <w:p>
      <w:pPr>
        <w:pStyle w:val="Normal"/>
        <w:spacing w:lineRule="auto" w:line="480"/>
        <w:ind w:start="363"/>
        <w:rPr>
          <w:lang w:val="en-US"/>
        </w:rPr>
      </w:pPr>
      <w:r>
        <w:rPr>
          <w:lang w:val="en-US"/>
        </w:rPr>
        <w:t xml:space="preserve">(6) The fees and expenses of the accountant in preparing the draft financial statements, the working capital statement, and the Closing Date Financial Statements, in final form, shall be borne by the vendor. </w:t>
      </w:r>
    </w:p>
    <w:p>
      <w:pPr>
        <w:pStyle w:val="Normal"/>
        <w:spacing w:lineRule="auto" w:line="480"/>
        <w:ind w:start="363"/>
        <w:rPr>
          <w:lang w:val="en-US"/>
        </w:rPr>
      </w:pPr>
      <w:r>
        <w:rPr>
          <w:lang w:val="en-US"/>
        </w:rPr>
        <w:t xml:space="preserve">(7) The vendor and the purchaser each bear their own fees and expenses in reviewing the draft financial statements and the working capital statement. </w:t>
      </w:r>
    </w:p>
    <w:p>
      <w:pPr>
        <w:pStyle w:val="Normal"/>
        <w:spacing w:lineRule="auto" w:line="480"/>
        <w:ind w:start="363"/>
        <w:rPr>
          <w:lang w:val="en-US"/>
        </w:rPr>
      </w:pPr>
      <w:r>
        <w:rPr>
          <w:lang w:val="en-US"/>
        </w:rPr>
        <w:t xml:space="preserve">(8) The fee and costs of the Independent Accountant are borne equally as between the vendor and the purchaser, unless otherwise apportioned between them by the Independent Accountant. </w:t>
      </w:r>
    </w:p>
    <w:p>
      <w:pPr>
        <w:pStyle w:val="Normal"/>
        <w:spacing w:lineRule="auto" w:line="480"/>
        <w:rPr>
          <w:i/>
          <w:iCs/>
          <w:lang w:val="en-US"/>
        </w:rPr>
      </w:pPr>
      <w:r>
        <w:rPr>
          <w:i/>
          <w:iCs/>
          <w:lang w:val="en-US"/>
        </w:rPr>
        <w:t>Transfer of licenses</w:t>
      </w:r>
    </w:p>
    <w:p>
      <w:pPr>
        <w:pStyle w:val="Normal"/>
        <w:numPr>
          <w:ilvl w:val="0"/>
          <w:numId w:val="1"/>
        </w:numPr>
        <w:spacing w:lineRule="auto" w:line="480"/>
        <w:rPr>
          <w:lang w:val="en-US"/>
        </w:rPr>
      </w:pPr>
      <w:r>
        <w:rPr>
          <w:lang w:val="en-US"/>
        </w:rPr>
        <w:t xml:space="preserve">Upon execution of this agreement the vendor shall assist the purchaser and the corporation to take those steps necessary to begin the transfer of all licenses required for the conduct of the business for the Closing Date. </w:t>
      </w:r>
    </w:p>
    <w:p>
      <w:pPr>
        <w:pStyle w:val="Normal"/>
        <w:spacing w:lineRule="auto" w:line="480"/>
        <w:rPr>
          <w:i/>
          <w:iCs/>
          <w:lang w:val="en-US"/>
        </w:rPr>
      </w:pPr>
      <w:r>
        <w:rPr>
          <w:i/>
          <w:iCs/>
          <w:lang w:val="en-US"/>
        </w:rPr>
        <w:t xml:space="preserve">Environmental Assessment </w:t>
      </w:r>
    </w:p>
    <w:p>
      <w:pPr>
        <w:pStyle w:val="Normal"/>
        <w:numPr>
          <w:ilvl w:val="0"/>
          <w:numId w:val="1"/>
        </w:numPr>
        <w:spacing w:lineRule="auto" w:line="480"/>
        <w:rPr>
          <w:lang w:val="en-US"/>
        </w:rPr>
      </w:pPr>
      <w:r>
        <w:rPr>
          <w:lang w:val="en-US"/>
        </w:rPr>
        <w:t xml:space="preserve">(1) The parties agree that the purchaser shall be entitled, as its sole cost and risk, to retain an environmental consultant to conduct a Phase 1 Environmental Assessment of the real property of the corporation. </w:t>
      </w:r>
    </w:p>
    <w:p>
      <w:pPr>
        <w:pStyle w:val="Normal"/>
        <w:spacing w:lineRule="auto" w:line="480"/>
        <w:ind w:start="363"/>
        <w:rPr>
          <w:lang w:val="en-US"/>
        </w:rPr>
      </w:pPr>
      <w:r>
        <w:rPr>
          <w:lang w:val="en-US"/>
        </w:rPr>
        <w:t xml:space="preserve">(2) The purchaser will provide the vendor with a complete copy of the final version of the Phase 1 Report within five (5) days of receiving it. </w:t>
      </w:r>
    </w:p>
    <w:p>
      <w:pPr>
        <w:pStyle w:val="Normal"/>
        <w:spacing w:lineRule="auto" w:line="480"/>
        <w:rPr>
          <w:b/>
          <w:bCs/>
          <w:lang w:val="en-US"/>
        </w:rPr>
      </w:pPr>
      <w:r>
        <w:rPr>
          <w:b/>
          <w:bCs/>
          <w:lang w:val="en-US"/>
        </w:rPr>
        <w:t xml:space="preserve">PART III – Conditions Precedent </w:t>
      </w:r>
    </w:p>
    <w:p>
      <w:pPr>
        <w:pStyle w:val="Normal"/>
        <w:spacing w:lineRule="auto" w:line="480"/>
        <w:rPr>
          <w:i/>
          <w:iCs/>
          <w:lang w:val="en-US"/>
        </w:rPr>
      </w:pPr>
      <w:r>
        <w:rPr>
          <w:i/>
          <w:iCs/>
          <w:lang w:val="en-US"/>
        </w:rPr>
        <w:t>Conditions precedent to purchaser’s obligation</w:t>
      </w:r>
    </w:p>
    <w:p>
      <w:pPr>
        <w:pStyle w:val="Normal"/>
        <w:numPr>
          <w:ilvl w:val="0"/>
          <w:numId w:val="1"/>
        </w:numPr>
        <w:spacing w:lineRule="auto" w:line="480"/>
        <w:rPr>
          <w:lang w:val="en-US"/>
        </w:rPr>
      </w:pPr>
      <w:r>
        <w:rPr>
          <w:lang w:val="en-US"/>
        </w:rPr>
        <w:t>The purchaser’s obligation to complete the transaction herein is conditional upon each of the following:</w:t>
      </w:r>
    </w:p>
    <w:p>
      <w:pPr>
        <w:pStyle w:val="ListParagraph"/>
        <w:numPr>
          <w:ilvl w:val="1"/>
          <w:numId w:val="1"/>
        </w:numPr>
        <w:spacing w:lineRule="auto" w:line="480"/>
        <w:rPr>
          <w:rFonts w:ascii="Times New Roman" w:hAnsi="Times New Roman" w:cs="Times New Roman"/>
          <w:lang w:val="en-US"/>
        </w:rPr>
      </w:pPr>
      <w:r>
        <w:rPr>
          <w:rFonts w:cs="Times New Roman" w:ascii="Times New Roman" w:hAnsi="Times New Roman"/>
          <w:lang w:val="en-US"/>
        </w:rPr>
        <w:t>the representation and warranties of the vendor contained in this agreement being true as of the Closing Date;</w:t>
      </w:r>
    </w:p>
    <w:p>
      <w:pPr>
        <w:pStyle w:val="ListParagraph"/>
        <w:numPr>
          <w:ilvl w:val="1"/>
          <w:numId w:val="1"/>
        </w:numPr>
        <w:spacing w:lineRule="auto" w:line="480"/>
        <w:rPr>
          <w:rFonts w:ascii="Times New Roman" w:hAnsi="Times New Roman" w:cs="Times New Roman"/>
          <w:lang w:val="en-US"/>
        </w:rPr>
      </w:pPr>
      <w:r>
        <w:rPr>
          <w:rFonts w:cs="Times New Roman" w:ascii="Times New Roman" w:hAnsi="Times New Roman"/>
          <w:lang w:val="en-US"/>
        </w:rPr>
        <w:t xml:space="preserve">the licenses required for the conduct of the business being transferred prior to the Closing Date, or otherwise approved for transfer in advance of the Closing Date; </w:t>
      </w:r>
    </w:p>
    <w:p>
      <w:pPr>
        <w:pStyle w:val="ListParagraph"/>
        <w:numPr>
          <w:ilvl w:val="1"/>
          <w:numId w:val="1"/>
        </w:numPr>
        <w:spacing w:lineRule="auto" w:line="480"/>
        <w:rPr>
          <w:rFonts w:ascii="Times New Roman" w:hAnsi="Times New Roman" w:cs="Times New Roman"/>
          <w:lang w:val="en-US"/>
        </w:rPr>
      </w:pPr>
      <w:r>
        <w:rPr>
          <w:rFonts w:cs="Times New Roman" w:ascii="Times New Roman" w:hAnsi="Times New Roman"/>
          <w:lang w:val="en-US"/>
        </w:rPr>
        <w:t xml:space="preserve">the Phase 1 Environmental Report being approved to the satisfaction of the purchaser; and </w:t>
      </w:r>
    </w:p>
    <w:p>
      <w:pPr>
        <w:pStyle w:val="ListParagraph"/>
        <w:numPr>
          <w:ilvl w:val="1"/>
          <w:numId w:val="1"/>
        </w:numPr>
        <w:spacing w:lineRule="auto" w:line="480"/>
        <w:rPr>
          <w:rFonts w:ascii="Times New Roman" w:hAnsi="Times New Roman" w:cs="Times New Roman"/>
          <w:lang w:val="en-US"/>
        </w:rPr>
      </w:pPr>
      <w:r>
        <w:rPr>
          <w:rFonts w:cs="Times New Roman" w:ascii="Times New Roman" w:hAnsi="Times New Roman"/>
          <w:lang w:val="en-US"/>
        </w:rPr>
        <w:t xml:space="preserve">the sale of the shares having been duly authorized by all necessary corporate action on behalf of the purchaser. </w:t>
      </w:r>
    </w:p>
    <w:p>
      <w:pPr>
        <w:pStyle w:val="Normal"/>
        <w:spacing w:lineRule="auto" w:line="480"/>
        <w:rPr>
          <w:b/>
          <w:bCs/>
          <w:lang w:val="en-US"/>
        </w:rPr>
      </w:pPr>
      <w:r>
        <w:rPr>
          <w:b/>
          <w:bCs/>
          <w:lang w:val="en-US"/>
        </w:rPr>
        <w:t xml:space="preserve">PART IV – Representation and Warranties </w:t>
      </w:r>
    </w:p>
    <w:p>
      <w:pPr>
        <w:pStyle w:val="Normal"/>
        <w:spacing w:lineRule="auto" w:line="480"/>
        <w:rPr>
          <w:i/>
          <w:iCs/>
        </w:rPr>
      </w:pPr>
      <w:r>
        <w:rPr>
          <w:i/>
          <w:iCs/>
        </w:rPr>
        <w:t>Vendor’s representations</w:t>
      </w:r>
    </w:p>
    <w:p>
      <w:pPr>
        <w:pStyle w:val="Normal"/>
        <w:numPr>
          <w:ilvl w:val="0"/>
          <w:numId w:val="1"/>
        </w:numPr>
        <w:spacing w:lineRule="auto" w:line="480"/>
        <w:ind w:hanging="388" w:start="421"/>
        <w:rPr/>
      </w:pPr>
      <w:r>
        <w:rPr/>
        <w:t xml:space="preserve">(1) The vendor represents and warrants that, as at the closing date, </w:t>
      </w:r>
    </w:p>
    <w:p>
      <w:pPr>
        <w:pStyle w:val="Normal"/>
        <w:numPr>
          <w:ilvl w:val="1"/>
          <w:numId w:val="1"/>
        </w:numPr>
        <w:spacing w:lineRule="auto" w:line="480"/>
        <w:ind w:hanging="397" w:start="737"/>
        <w:rPr/>
      </w:pPr>
      <w:r>
        <w:rPr/>
        <w:t xml:space="preserve">the corporation’s authorized capital consists of </w:t>
      </w:r>
      <w:r>
        <w:rPr>
          <w:shd w:fill="FFFF00" w:val="clear"/>
        </w:rPr>
        <w:t>XX</w:t>
      </w:r>
      <w:r>
        <w:rPr/>
        <w:t xml:space="preserve"> common voting shares without par value;</w:t>
      </w:r>
    </w:p>
    <w:p>
      <w:pPr>
        <w:pStyle w:val="Normal"/>
        <w:numPr>
          <w:ilvl w:val="1"/>
          <w:numId w:val="1"/>
        </w:numPr>
        <w:spacing w:lineRule="auto" w:line="480"/>
        <w:ind w:hanging="397" w:start="737"/>
        <w:rPr/>
      </w:pPr>
      <w:r>
        <w:rPr/>
        <w:t>all issued shares are fully paid and non-assessable;</w:t>
      </w:r>
    </w:p>
    <w:p>
      <w:pPr>
        <w:pStyle w:val="Normal"/>
        <w:numPr>
          <w:ilvl w:val="1"/>
          <w:numId w:val="1"/>
        </w:numPr>
        <w:spacing w:lineRule="auto" w:line="480"/>
        <w:ind w:hanging="397" w:start="737"/>
        <w:rPr/>
      </w:pPr>
      <w:r>
        <w:rPr/>
        <w:t>the vendor owns the corporation’s common shares with good and marketable title;</w:t>
      </w:r>
    </w:p>
    <w:p>
      <w:pPr>
        <w:pStyle w:val="Normal"/>
        <w:numPr>
          <w:ilvl w:val="1"/>
          <w:numId w:val="1"/>
        </w:numPr>
        <w:spacing w:lineRule="auto" w:line="480"/>
        <w:ind w:hanging="397" w:start="737"/>
        <w:rPr/>
      </w:pPr>
      <w:r>
        <w:rPr/>
        <w:t>the vendor’s shares are owned free from all mortgages, liens, encumbrances, and adverse claims;</w:t>
      </w:r>
    </w:p>
    <w:p>
      <w:pPr>
        <w:pStyle w:val="Normal"/>
        <w:numPr>
          <w:ilvl w:val="1"/>
          <w:numId w:val="1"/>
        </w:numPr>
        <w:spacing w:lineRule="auto" w:line="480"/>
        <w:ind w:hanging="397" w:start="737"/>
        <w:rPr/>
      </w:pPr>
      <w:r>
        <w:rPr/>
        <w:t>no person, firm, or corporation has any agreement, option, or right to purchase or issue additional shares, securities, warrants, or similar instruments;</w:t>
      </w:r>
    </w:p>
    <w:p>
      <w:pPr>
        <w:pStyle w:val="Normal"/>
        <w:numPr>
          <w:ilvl w:val="1"/>
          <w:numId w:val="1"/>
        </w:numPr>
        <w:spacing w:lineRule="auto" w:line="480"/>
        <w:ind w:hanging="397" w:start="737"/>
        <w:rPr/>
      </w:pPr>
      <w:r>
        <w:rPr/>
        <w:t>entering into this agreement does not violate the corporation’s constating documents or by-laws;</w:t>
      </w:r>
    </w:p>
    <w:p>
      <w:pPr>
        <w:pStyle w:val="Normal"/>
        <w:numPr>
          <w:ilvl w:val="1"/>
          <w:numId w:val="1"/>
        </w:numPr>
        <w:spacing w:lineRule="auto" w:line="480"/>
        <w:ind w:hanging="397" w:start="737"/>
        <w:rPr/>
      </w:pPr>
      <w:r>
        <w:rPr/>
        <w:t>entering into this agreement does not violate any indenture or agreement to which the corporation is a party;</w:t>
      </w:r>
    </w:p>
    <w:p>
      <w:pPr>
        <w:pStyle w:val="Normal"/>
        <w:numPr>
          <w:ilvl w:val="1"/>
          <w:numId w:val="1"/>
        </w:numPr>
        <w:spacing w:lineRule="auto" w:line="480"/>
        <w:ind w:hanging="397" w:start="737"/>
        <w:rPr/>
      </w:pPr>
      <w:r>
        <w:rPr/>
        <w:t>this agreement constitutes a binding obligation on the corporation, and the corporation has duly authorized the execution of this agreement on its behalf;</w:t>
      </w:r>
    </w:p>
    <w:p>
      <w:pPr>
        <w:pStyle w:val="Normal"/>
        <w:numPr>
          <w:ilvl w:val="1"/>
          <w:numId w:val="1"/>
        </w:numPr>
        <w:spacing w:lineRule="auto" w:line="480"/>
        <w:ind w:hanging="397" w:start="737"/>
        <w:rPr/>
      </w:pPr>
      <w:r>
        <w:rPr/>
        <w:t xml:space="preserve">the vendor is not a non-resident within the meaning of the </w:t>
      </w:r>
      <w:r>
        <w:rPr>
          <w:i/>
          <w:iCs/>
        </w:rPr>
        <w:t>Income Tax Act</w:t>
      </w:r>
      <w:r>
        <w:rPr/>
        <w:t>;</w:t>
      </w:r>
    </w:p>
    <w:p>
      <w:pPr>
        <w:pStyle w:val="Normal"/>
        <w:numPr>
          <w:ilvl w:val="1"/>
          <w:numId w:val="1"/>
        </w:numPr>
        <w:spacing w:lineRule="auto" w:line="480"/>
        <w:ind w:hanging="397" w:start="737"/>
        <w:rPr/>
      </w:pPr>
      <w:r>
        <w:rPr/>
        <w:t>no legal actions or claims, threatened, potential, or actual, exist against the corporation; and</w:t>
      </w:r>
    </w:p>
    <w:p>
      <w:pPr>
        <w:pStyle w:val="Normal"/>
        <w:numPr>
          <w:ilvl w:val="1"/>
          <w:numId w:val="1"/>
        </w:numPr>
        <w:spacing w:lineRule="auto" w:line="480"/>
        <w:ind w:hanging="397" w:start="737"/>
        <w:rPr/>
      </w:pPr>
      <w:r>
        <w:rPr/>
        <w:t>the corporation’s bank accounts hold approximately $</w:t>
      </w:r>
      <w:r>
        <w:rPr>
          <w:shd w:fill="FFFF00" w:val="clear"/>
        </w:rPr>
        <w:t>XX</w:t>
      </w:r>
      <w:r>
        <w:rPr/>
        <w:t xml:space="preserve"> as of </w:t>
      </w:r>
      <w:r>
        <w:rPr>
          <w:shd w:fill="FFFF00" w:val="clear"/>
        </w:rPr>
        <w:t>XX</w:t>
      </w:r>
      <w:r>
        <w:rPr/>
        <w:t>.</w:t>
      </w:r>
    </w:p>
    <w:p>
      <w:pPr>
        <w:pStyle w:val="Normal"/>
        <w:spacing w:lineRule="auto" w:line="480"/>
        <w:rPr>
          <w:i/>
          <w:iCs/>
          <w:lang w:val="en-US"/>
        </w:rPr>
      </w:pPr>
      <w:r>
        <w:rPr>
          <w:i/>
          <w:iCs/>
          <w:lang w:val="en-US"/>
        </w:rPr>
        <w:t xml:space="preserve">Additional vendor’s representations and warranties </w:t>
      </w:r>
    </w:p>
    <w:p>
      <w:pPr>
        <w:pStyle w:val="Normal"/>
        <w:numPr>
          <w:ilvl w:val="0"/>
          <w:numId w:val="1"/>
        </w:numPr>
        <w:spacing w:lineRule="auto" w:line="480"/>
        <w:rPr>
          <w:lang w:val="en-US"/>
        </w:rPr>
      </w:pPr>
      <w:r>
        <w:rPr>
          <w:lang w:val="en-US"/>
        </w:rPr>
        <w:t xml:space="preserve">The vendor represents and warrants to the purchaser, in addition to the representations set out in Part III, as follows: </w:t>
      </w:r>
    </w:p>
    <w:p>
      <w:pPr>
        <w:pStyle w:val="Normal"/>
        <w:spacing w:lineRule="auto" w:line="480"/>
        <w:rPr>
          <w:i/>
          <w:iCs/>
          <w:lang w:val="en-US"/>
        </w:rPr>
      </w:pPr>
      <w:r>
        <w:rPr>
          <w:i/>
          <w:iCs/>
          <w:lang w:val="en-US"/>
        </w:rPr>
        <w:t>Conduct</w:t>
      </w:r>
    </w:p>
    <w:p>
      <w:pPr>
        <w:pStyle w:val="Normal"/>
        <w:numPr>
          <w:ilvl w:val="1"/>
          <w:numId w:val="1"/>
        </w:numPr>
        <w:spacing w:lineRule="auto" w:line="480"/>
        <w:rPr>
          <w:lang w:val="en-US"/>
        </w:rPr>
      </w:pPr>
      <w:r>
        <w:rPr>
          <w:lang w:val="en-US"/>
        </w:rPr>
        <w:t xml:space="preserve">the corporation has conducted and is conducting its business and operates and maintains the properties and assets used in that business in compliance with all applicable laws, rules, and regulations; </w:t>
      </w:r>
    </w:p>
    <w:p>
      <w:pPr>
        <w:pStyle w:val="Normal"/>
        <w:numPr>
          <w:ilvl w:val="1"/>
          <w:numId w:val="1"/>
        </w:numPr>
        <w:spacing w:lineRule="auto" w:line="480"/>
        <w:rPr>
          <w:lang w:val="en-US"/>
        </w:rPr>
      </w:pPr>
      <w:r>
        <w:rPr>
          <w:lang w:val="en-US"/>
        </w:rPr>
        <w:t xml:space="preserve">the corporation has the corporate power to own or lease its property and to carry on its business as now being conducted by it, and is registered, licensed, or otherwise qualified in all the jurisdictions where it owns or leases such property and carries on such business; </w:t>
      </w:r>
    </w:p>
    <w:p>
      <w:pPr>
        <w:pStyle w:val="Normal"/>
        <w:spacing w:lineRule="auto" w:line="480"/>
        <w:rPr>
          <w:i/>
          <w:iCs/>
          <w:lang w:val="en-US"/>
        </w:rPr>
      </w:pPr>
      <w:r>
        <w:rPr>
          <w:i/>
          <w:iCs/>
          <w:lang w:val="en-US"/>
        </w:rPr>
        <w:t>Litigation</w:t>
      </w:r>
    </w:p>
    <w:p>
      <w:pPr>
        <w:pStyle w:val="Normal"/>
        <w:numPr>
          <w:ilvl w:val="1"/>
          <w:numId w:val="1"/>
        </w:numPr>
        <w:spacing w:lineRule="auto" w:line="480"/>
        <w:rPr>
          <w:lang w:val="en-US"/>
        </w:rPr>
      </w:pPr>
      <w:r>
        <w:rPr>
          <w:lang w:val="en-US"/>
        </w:rPr>
        <w:t>no actions, suits, hearings, arbitrations, audits, chargers, order (draft or otherwise), judgments, injunctions, decrees, awards, writs, proceedings (public or private), or investigations have been brought by or against any governmental authority or any other person are pending or, to the knowledge of the vendor, threatened against or affecting the purchased shares of the corporation or that seek to prevent, enjoin, alter or delay the transactions provided for by this agreement;</w:t>
      </w:r>
    </w:p>
    <w:p>
      <w:pPr>
        <w:pStyle w:val="Normal"/>
        <w:spacing w:lineRule="auto" w:line="480"/>
        <w:rPr>
          <w:i/>
          <w:iCs/>
          <w:lang w:val="en-US"/>
        </w:rPr>
      </w:pPr>
      <w:r>
        <w:rPr>
          <w:i/>
          <w:iCs/>
        </w:rPr>
        <w:t>Financial statements</w:t>
      </w:r>
    </w:p>
    <w:p>
      <w:pPr>
        <w:pStyle w:val="Normal"/>
        <w:numPr>
          <w:ilvl w:val="1"/>
          <w:numId w:val="1"/>
        </w:numPr>
        <w:spacing w:lineRule="auto" w:line="480"/>
        <w:rPr>
          <w:lang w:val="en-US"/>
        </w:rPr>
      </w:pPr>
      <w:r>
        <w:rPr>
          <w:lang w:val="en-US"/>
        </w:rPr>
        <w:t xml:space="preserve">the financial statements of the corporation prepared by the corporation’s accountants and management have been prepared in accordance with generally accepted accounting principles and present fully, fairly, and accurately, in all material respects, the assets, liabilities, and financial condition of the corporation as at the date of the financial statements; </w:t>
      </w:r>
    </w:p>
    <w:p>
      <w:pPr>
        <w:pStyle w:val="Normal"/>
        <w:numPr>
          <w:ilvl w:val="1"/>
          <w:numId w:val="1"/>
        </w:numPr>
        <w:spacing w:lineRule="auto" w:line="480"/>
        <w:rPr>
          <w:lang w:val="en-US"/>
        </w:rPr>
      </w:pPr>
      <w:r>
        <w:rPr>
          <w:lang w:val="en-US"/>
        </w:rPr>
        <w:t>the financial statements are complete and no liabilities not included in the financial statements exist with respect to the corporation;</w:t>
      </w:r>
    </w:p>
    <w:p>
      <w:pPr>
        <w:pStyle w:val="Normal"/>
        <w:numPr>
          <w:ilvl w:val="1"/>
          <w:numId w:val="1"/>
        </w:numPr>
        <w:spacing w:lineRule="auto" w:line="480"/>
        <w:rPr>
          <w:lang w:val="en-US"/>
        </w:rPr>
      </w:pPr>
      <w:r>
        <w:rPr>
          <w:lang w:val="en-US"/>
        </w:rPr>
        <w:t>from the date of the financial statements, no material adverse effects exist with respect to the assets, affairs, or financial condition of the corporation;</w:t>
      </w:r>
    </w:p>
    <w:p>
      <w:pPr>
        <w:pStyle w:val="Normal"/>
        <w:numPr>
          <w:ilvl w:val="1"/>
          <w:numId w:val="1"/>
        </w:numPr>
        <w:spacing w:lineRule="auto" w:line="480"/>
        <w:rPr>
          <w:lang w:val="en-US"/>
        </w:rPr>
      </w:pPr>
      <w:r>
        <w:rPr>
          <w:lang w:val="en-US"/>
        </w:rPr>
        <w:t xml:space="preserve">from the date of the financial statements, the corporation has not entered into any transactions or incurred any obligations or liabilities outside of the ordinary course of business; </w:t>
      </w:r>
    </w:p>
    <w:p>
      <w:pPr>
        <w:pStyle w:val="Normal"/>
        <w:numPr>
          <w:ilvl w:val="1"/>
          <w:numId w:val="1"/>
        </w:numPr>
        <w:spacing w:lineRule="auto" w:line="480"/>
        <w:rPr>
          <w:lang w:val="en-US"/>
        </w:rPr>
      </w:pPr>
      <w:r>
        <w:rPr>
          <w:lang w:val="en-US"/>
        </w:rPr>
        <w:t xml:space="preserve">except as disclosed in the financial statements, the corporation owns all of the property and assets used by it in connection with the business with good title, free and clear of all liens, charges, and encumbrances; </w:t>
      </w:r>
      <w:r>
        <w:rPr>
          <w:i/>
          <w:iCs/>
          <w:lang w:val="en-US"/>
        </w:rPr>
        <w:t xml:space="preserve"> </w:t>
      </w:r>
    </w:p>
    <w:p>
      <w:pPr>
        <w:pStyle w:val="Normal"/>
        <w:spacing w:lineRule="auto" w:line="480"/>
        <w:rPr>
          <w:i/>
          <w:iCs/>
        </w:rPr>
      </w:pPr>
      <w:r>
        <w:rPr>
          <w:i/>
          <w:iCs/>
        </w:rPr>
        <w:t>Indebtedness</w:t>
      </w:r>
    </w:p>
    <w:p>
      <w:pPr>
        <w:pStyle w:val="Normal"/>
        <w:numPr>
          <w:ilvl w:val="1"/>
          <w:numId w:val="1"/>
        </w:numPr>
        <w:spacing w:lineRule="auto" w:line="480"/>
        <w:rPr>
          <w:lang w:val="en-US"/>
        </w:rPr>
      </w:pPr>
      <w:r>
        <w:rPr>
          <w:lang w:val="en-US"/>
        </w:rPr>
        <w:t xml:space="preserve">save for the shareholder loans to be assigned on closing, the corporation is not indebted to any person and is not a party to, bound by, nor subject to any debt instrument or any agreement, contract, or commitment to create, assume, or issue any debt instrument or incur, other than accounts payable of the corporation incurred in the ordinary course of business; </w:t>
      </w:r>
    </w:p>
    <w:p>
      <w:pPr>
        <w:pStyle w:val="Normal"/>
        <w:numPr>
          <w:ilvl w:val="1"/>
          <w:numId w:val="1"/>
        </w:numPr>
        <w:spacing w:lineRule="auto" w:line="480"/>
        <w:rPr>
          <w:lang w:val="en-US"/>
        </w:rPr>
      </w:pPr>
      <w:r>
        <w:rPr>
          <w:lang w:val="en-US"/>
        </w:rPr>
        <w:t>the corporation has not given nor agreed to give, nor is it a party to or bound by or subject to any guarantee or other financial assistance to any person;</w:t>
      </w:r>
    </w:p>
    <w:p>
      <w:pPr>
        <w:pStyle w:val="Normal"/>
        <w:spacing w:lineRule="auto" w:line="480"/>
        <w:rPr>
          <w:i/>
          <w:iCs/>
          <w:lang w:val="en-US"/>
        </w:rPr>
      </w:pPr>
      <w:r>
        <w:rPr>
          <w:i/>
          <w:iCs/>
        </w:rPr>
        <w:t>Assets</w:t>
      </w:r>
    </w:p>
    <w:p>
      <w:pPr>
        <w:pStyle w:val="Normal"/>
        <w:numPr>
          <w:ilvl w:val="1"/>
          <w:numId w:val="1"/>
        </w:numPr>
        <w:spacing w:lineRule="auto" w:line="480"/>
        <w:rPr>
          <w:lang w:val="en-US"/>
        </w:rPr>
      </w:pPr>
      <w:r>
        <w:rPr>
          <w:lang w:val="en-US"/>
        </w:rPr>
        <w:t>the assets owned, licensed or leased by the corporation constitute all of the property and assets necessary to carry on the business as currently carried on, are free of material defects, and include all proprietary rights, intellectual property rights, and other property and assets, tangible and intangible, used in connection with the business;</w:t>
      </w:r>
    </w:p>
    <w:p>
      <w:pPr>
        <w:pStyle w:val="Normal"/>
        <w:numPr>
          <w:ilvl w:val="1"/>
          <w:numId w:val="1"/>
        </w:numPr>
        <w:spacing w:lineRule="auto" w:line="480"/>
        <w:rPr>
          <w:lang w:val="en-US"/>
        </w:rPr>
      </w:pPr>
      <w:r>
        <w:rPr>
          <w:lang w:val="en-US"/>
        </w:rPr>
        <w:t>the corporation is the owner of the real property leases noted in schedule A hereto;</w:t>
      </w:r>
    </w:p>
    <w:p>
      <w:pPr>
        <w:pStyle w:val="Normal"/>
        <w:numPr>
          <w:ilvl w:val="1"/>
          <w:numId w:val="1"/>
        </w:numPr>
        <w:spacing w:lineRule="auto" w:line="480"/>
        <w:rPr>
          <w:lang w:val="en-US"/>
        </w:rPr>
      </w:pPr>
      <w:r>
        <w:rPr>
          <w:lang w:val="en-US"/>
        </w:rPr>
        <w:t>to the best of the vendor’s knowledge, the real property held by the corporation has been operated in compliance with environmental laws;</w:t>
      </w:r>
    </w:p>
    <w:p>
      <w:pPr>
        <w:pStyle w:val="Normal"/>
        <w:numPr>
          <w:ilvl w:val="1"/>
          <w:numId w:val="1"/>
        </w:numPr>
        <w:spacing w:lineRule="auto" w:line="480"/>
        <w:rPr>
          <w:lang w:val="en-US"/>
        </w:rPr>
      </w:pPr>
      <w:r>
        <w:rPr>
          <w:lang w:val="en-US"/>
        </w:rPr>
        <w:t xml:space="preserve">the vendor has no knowledge of hazardous waste spills or like environmental damage to the real property owned by the corporation; </w:t>
      </w:r>
    </w:p>
    <w:p>
      <w:pPr>
        <w:pStyle w:val="Normal"/>
        <w:numPr>
          <w:ilvl w:val="1"/>
          <w:numId w:val="1"/>
        </w:numPr>
        <w:spacing w:lineRule="auto" w:line="480"/>
        <w:rPr>
          <w:lang w:val="en-US"/>
        </w:rPr>
      </w:pPr>
      <w:r>
        <w:rPr>
          <w:lang w:val="en-US"/>
        </w:rPr>
        <w:t>the building and improvements on the real property of the corporation are compliant with permitting requirements;</w:t>
      </w:r>
    </w:p>
    <w:p>
      <w:pPr>
        <w:pStyle w:val="Normal"/>
        <w:numPr>
          <w:ilvl w:val="1"/>
          <w:numId w:val="1"/>
        </w:numPr>
        <w:spacing w:lineRule="auto" w:line="480"/>
        <w:rPr>
          <w:lang w:val="en-US"/>
        </w:rPr>
      </w:pPr>
      <w:r>
        <w:rPr>
          <w:lang w:val="en-US"/>
        </w:rPr>
        <w:t>the vendor has no knowledge of any notice from the relevant building safety authority regarding the permitting or use of the real property for the business;</w:t>
      </w:r>
    </w:p>
    <w:p>
      <w:pPr>
        <w:pStyle w:val="Normal"/>
        <w:spacing w:lineRule="auto" w:line="480"/>
        <w:rPr>
          <w:i/>
          <w:iCs/>
          <w:lang w:val="en-US"/>
        </w:rPr>
      </w:pPr>
      <w:r>
        <w:rPr>
          <w:i/>
          <w:iCs/>
        </w:rPr>
        <w:t>Licenses</w:t>
      </w:r>
    </w:p>
    <w:p>
      <w:pPr>
        <w:pStyle w:val="Normal"/>
        <w:numPr>
          <w:ilvl w:val="1"/>
          <w:numId w:val="1"/>
        </w:numPr>
        <w:spacing w:lineRule="auto" w:line="480"/>
        <w:rPr>
          <w:lang w:val="en-US"/>
        </w:rPr>
      </w:pPr>
      <w:r>
        <w:rPr>
          <w:lang w:val="en-US"/>
        </w:rPr>
        <w:t>the corporation has those licenses noted in schedule B hereto for the conduct of the business;</w:t>
      </w:r>
    </w:p>
    <w:p>
      <w:pPr>
        <w:pStyle w:val="Normal"/>
        <w:numPr>
          <w:ilvl w:val="1"/>
          <w:numId w:val="1"/>
        </w:numPr>
        <w:spacing w:lineRule="auto" w:line="480"/>
        <w:rPr>
          <w:lang w:val="en-US"/>
        </w:rPr>
      </w:pPr>
      <w:r>
        <w:rPr>
          <w:lang w:val="en-US"/>
        </w:rPr>
        <w:t xml:space="preserve">the licensed noted in schedule B are all in good standing with no notices received by the vendor as to issues with any of those licenses; </w:t>
      </w:r>
    </w:p>
    <w:p>
      <w:pPr>
        <w:pStyle w:val="Normal"/>
        <w:spacing w:lineRule="auto" w:line="480"/>
        <w:rPr>
          <w:i/>
          <w:iCs/>
          <w:lang w:val="en-US"/>
        </w:rPr>
      </w:pPr>
      <w:r>
        <w:rPr>
          <w:i/>
          <w:iCs/>
        </w:rPr>
        <w:t>Intellectual property</w:t>
      </w:r>
    </w:p>
    <w:p>
      <w:pPr>
        <w:pStyle w:val="Normal"/>
        <w:numPr>
          <w:ilvl w:val="1"/>
          <w:numId w:val="1"/>
        </w:numPr>
        <w:spacing w:lineRule="auto" w:line="480"/>
        <w:rPr>
          <w:lang w:val="en-US"/>
        </w:rPr>
      </w:pPr>
      <w:r>
        <w:rPr/>
        <w:t>to the best of the vendor’s knowledge, the corporation either owns the entire right, title, and interest in, to, and under, or has acquired an exclusive licence to use, any and all patents, trademarks, trade names, brand names and copyrights that are material to the conduct of the business in the manner that the business has been conducted prior to the date of this agreement;</w:t>
      </w:r>
    </w:p>
    <w:p>
      <w:pPr>
        <w:pStyle w:val="Normal"/>
        <w:spacing w:lineRule="auto" w:line="480"/>
        <w:rPr>
          <w:i/>
          <w:iCs/>
          <w:lang w:val="en-US"/>
        </w:rPr>
      </w:pPr>
      <w:r>
        <w:rPr>
          <w:i/>
          <w:iCs/>
          <w:lang w:val="en-US"/>
        </w:rPr>
        <w:t>Employees</w:t>
      </w:r>
    </w:p>
    <w:p>
      <w:pPr>
        <w:pStyle w:val="Normal"/>
        <w:numPr>
          <w:ilvl w:val="1"/>
          <w:numId w:val="1"/>
        </w:numPr>
        <w:spacing w:lineRule="auto" w:line="480"/>
        <w:rPr>
          <w:lang w:val="en-US"/>
        </w:rPr>
      </w:pPr>
      <w:r>
        <w:rPr>
          <w:lang w:val="en-US"/>
        </w:rPr>
        <w:t>a complete list of employees of the business of the corporation and any benefit plan is listed in schedule B hereto;</w:t>
      </w:r>
    </w:p>
    <w:p>
      <w:pPr>
        <w:pStyle w:val="Normal"/>
        <w:numPr>
          <w:ilvl w:val="1"/>
          <w:numId w:val="1"/>
        </w:numPr>
        <w:spacing w:lineRule="auto" w:line="480"/>
        <w:rPr>
          <w:lang w:val="en-US"/>
        </w:rPr>
      </w:pPr>
      <w:r>
        <w:rPr>
          <w:lang w:val="en-US"/>
        </w:rPr>
        <w:t>the corporation has not received a notice of non-compliance and, to the best of the vendor’s knowledge, is currently complying, in respect of all employees, with all applicable laws respecting employment and employment practices and the protection of the health and safety of employees;</w:t>
      </w:r>
    </w:p>
    <w:p>
      <w:pPr>
        <w:pStyle w:val="Normal"/>
        <w:numPr>
          <w:ilvl w:val="1"/>
          <w:numId w:val="1"/>
        </w:numPr>
        <w:spacing w:lineRule="auto" w:line="480"/>
        <w:rPr>
          <w:lang w:val="en-US"/>
        </w:rPr>
      </w:pPr>
      <w:r>
        <w:rPr/>
        <w:t xml:space="preserve">there is no trade union or association certified by competent authority as bargaining agent for any employees; </w:t>
      </w:r>
    </w:p>
    <w:p>
      <w:pPr>
        <w:pStyle w:val="Normal"/>
        <w:numPr>
          <w:ilvl w:val="1"/>
          <w:numId w:val="1"/>
        </w:numPr>
        <w:spacing w:lineRule="auto" w:line="480"/>
        <w:rPr>
          <w:lang w:val="en-US"/>
        </w:rPr>
      </w:pPr>
      <w:r>
        <w:rPr/>
        <w:t xml:space="preserve">there is no trade union or association recognized by the corporation as bargaining agent for any employees; </w:t>
      </w:r>
    </w:p>
    <w:p>
      <w:pPr>
        <w:pStyle w:val="Normal"/>
        <w:numPr>
          <w:ilvl w:val="1"/>
          <w:numId w:val="1"/>
        </w:numPr>
        <w:spacing w:lineRule="auto" w:line="480"/>
        <w:rPr>
          <w:lang w:val="en-US"/>
        </w:rPr>
      </w:pPr>
      <w:r>
        <w:rPr/>
        <w:t>the corporation is not a party to or bound by any collective agreement with any labour union or association of employees and, to the vendor's knowledge, no such certification process with any labour union or association of employees is presently contemplated by any employees;</w:t>
      </w:r>
    </w:p>
    <w:p>
      <w:pPr>
        <w:pStyle w:val="Normal"/>
        <w:numPr>
          <w:ilvl w:val="1"/>
          <w:numId w:val="1"/>
        </w:numPr>
        <w:spacing w:lineRule="auto" w:line="480"/>
        <w:rPr>
          <w:lang w:val="en-US"/>
        </w:rPr>
      </w:pPr>
      <w:r>
        <w:rPr/>
        <w:t>the corporation has no outstanding contracts or agreements with any of its officers, directors, agents, or employees other than contracts of employment which have been provided to the purchaser;</w:t>
      </w:r>
    </w:p>
    <w:p>
      <w:pPr>
        <w:pStyle w:val="Normal"/>
        <w:numPr>
          <w:ilvl w:val="1"/>
          <w:numId w:val="1"/>
        </w:numPr>
        <w:spacing w:lineRule="auto" w:line="480"/>
        <w:rPr>
          <w:lang w:val="en-US"/>
        </w:rPr>
      </w:pPr>
      <w:r>
        <w:rPr/>
        <w:t>to the vendor's knowledge, the corporation is in compliance, in material respects, with the requirements of all applicable laws relating to the collection, use, and disclosure of personal information, including the establishment and observance of written policies and practices;</w:t>
      </w:r>
      <w:r>
        <w:rPr>
          <w:i/>
          <w:iCs/>
          <w:lang w:val="en-US"/>
        </w:rPr>
        <w:t xml:space="preserve"> </w:t>
      </w:r>
    </w:p>
    <w:p>
      <w:pPr>
        <w:pStyle w:val="Normal"/>
        <w:spacing w:lineRule="auto" w:line="480"/>
        <w:rPr>
          <w:i/>
          <w:iCs/>
        </w:rPr>
      </w:pPr>
      <w:r>
        <w:rPr>
          <w:i/>
          <w:iCs/>
        </w:rPr>
        <w:t>Tax matters</w:t>
      </w:r>
    </w:p>
    <w:p>
      <w:pPr>
        <w:pStyle w:val="Normal"/>
        <w:numPr>
          <w:ilvl w:val="1"/>
          <w:numId w:val="1"/>
        </w:numPr>
        <w:spacing w:lineRule="auto" w:line="480"/>
        <w:rPr>
          <w:lang w:val="en-US"/>
        </w:rPr>
      </w:pPr>
      <w:r>
        <w:rPr/>
        <w:t>the corporation has paid all assessed federal and provincial taxes due and payable, including all taxes shown on tax returns as being due and payable, and all taxes payable under any assessment or reassessment;</w:t>
      </w:r>
    </w:p>
    <w:p>
      <w:pPr>
        <w:pStyle w:val="Normal"/>
        <w:numPr>
          <w:ilvl w:val="1"/>
          <w:numId w:val="1"/>
        </w:numPr>
        <w:spacing w:lineRule="auto" w:line="480"/>
        <w:rPr>
          <w:lang w:val="en-US"/>
        </w:rPr>
      </w:pPr>
      <w:r>
        <w:rPr/>
        <w:t>excepting the change of control year-end tax return, the corporation has prepared and filed all tax returns on time and in the prescribed manner with all appropriate governmental authorities which were required to be filed on or prior to the Closing Date;</w:t>
      </w:r>
    </w:p>
    <w:p>
      <w:pPr>
        <w:pStyle w:val="Normal"/>
        <w:numPr>
          <w:ilvl w:val="1"/>
          <w:numId w:val="1"/>
        </w:numPr>
        <w:spacing w:lineRule="auto" w:line="480"/>
        <w:rPr>
          <w:lang w:val="en-US"/>
        </w:rPr>
      </w:pPr>
      <w:r>
        <w:rPr/>
        <w:t>all filed tax returns were correct and complete, and the corporation has made complete and accurate disclosure in those tax returns and in all materials accompanying those tax returns;</w:t>
      </w:r>
    </w:p>
    <w:p>
      <w:pPr>
        <w:pStyle w:val="Normal"/>
        <w:numPr>
          <w:ilvl w:val="1"/>
          <w:numId w:val="1"/>
        </w:numPr>
        <w:spacing w:lineRule="auto" w:line="480"/>
        <w:rPr>
          <w:lang w:val="en-US"/>
        </w:rPr>
      </w:pPr>
      <w:r>
        <w:rPr/>
        <w:t xml:space="preserve">the vendor is not a "non-resident" of Canada for the purpose of Section 116 of the </w:t>
      </w:r>
      <w:r>
        <w:rPr>
          <w:i/>
        </w:rPr>
        <w:t>Income Tax Act</w:t>
      </w:r>
      <w:r>
        <w:rPr/>
        <w:t xml:space="preserve"> (Canada);</w:t>
      </w:r>
    </w:p>
    <w:p>
      <w:pPr>
        <w:pStyle w:val="Normal"/>
        <w:numPr>
          <w:ilvl w:val="1"/>
          <w:numId w:val="1"/>
        </w:numPr>
        <w:spacing w:lineRule="auto" w:line="480"/>
        <w:rPr>
          <w:lang w:val="en-US"/>
        </w:rPr>
      </w:pPr>
      <w:r>
        <w:rPr/>
        <w:t xml:space="preserve">the corporation has complied with all registration, reporting, collection, and remittance requirements in respect of all federal and provincial tax laws, including in respect of statutory withholdings and in respect of sales tax, including the </w:t>
      </w:r>
      <w:r>
        <w:rPr>
          <w:i/>
        </w:rPr>
        <w:t>Excise Tax Act</w:t>
      </w:r>
      <w:r>
        <w:rPr/>
        <w:t xml:space="preserve"> (Canada);</w:t>
      </w:r>
    </w:p>
    <w:p>
      <w:pPr>
        <w:pStyle w:val="Normal"/>
        <w:numPr>
          <w:ilvl w:val="1"/>
          <w:numId w:val="1"/>
        </w:numPr>
        <w:spacing w:lineRule="auto" w:line="480"/>
        <w:rPr>
          <w:lang w:val="en-US"/>
        </w:rPr>
      </w:pPr>
      <w:r>
        <w:rPr/>
        <w:t xml:space="preserve">the corporation has withheld from each payment made to any of its present or former officers and directors, and to all persons who are non-residents of Canada for the purposes of the </w:t>
      </w:r>
      <w:r>
        <w:rPr>
          <w:i/>
        </w:rPr>
        <w:t>Income Tax Act</w:t>
      </w:r>
      <w:r>
        <w:rPr/>
        <w:t xml:space="preserve"> (Canada), all amounts required by applicable law and has remitted such withheld amounts within the prescribed periods to the appropriate governmental authority;</w:t>
      </w:r>
    </w:p>
    <w:p>
      <w:pPr>
        <w:pStyle w:val="Normal"/>
        <w:numPr>
          <w:ilvl w:val="1"/>
          <w:numId w:val="1"/>
        </w:numPr>
        <w:spacing w:lineRule="auto" w:line="480"/>
        <w:rPr>
          <w:lang w:val="en-US"/>
        </w:rPr>
      </w:pPr>
      <w:r>
        <w:rPr/>
        <w:t>the corporation has charged, collected, and remitted on a timely basis all taxes as required by applicable law on any sale, supply, or delivery whatsoever, made by the corporation;</w:t>
      </w:r>
    </w:p>
    <w:p>
      <w:pPr>
        <w:pStyle w:val="Normal"/>
        <w:numPr>
          <w:ilvl w:val="1"/>
          <w:numId w:val="1"/>
        </w:numPr>
        <w:spacing w:lineRule="auto" w:line="480"/>
        <w:rPr>
          <w:lang w:val="en-US"/>
        </w:rPr>
      </w:pPr>
      <w:r>
        <w:rPr/>
        <w:t>there are no assessments or reassessments of taxes that have been issued and are outstanding;</w:t>
      </w:r>
    </w:p>
    <w:p>
      <w:pPr>
        <w:pStyle w:val="Normal"/>
        <w:numPr>
          <w:ilvl w:val="1"/>
          <w:numId w:val="1"/>
        </w:numPr>
        <w:spacing w:lineRule="auto" w:line="480"/>
        <w:rPr>
          <w:lang w:val="en-US"/>
        </w:rPr>
      </w:pPr>
      <w:r>
        <w:rPr/>
        <w:t>the corporation is not negotiating any assessment or reassessment with any governmental authority;</w:t>
      </w:r>
    </w:p>
    <w:p>
      <w:pPr>
        <w:pStyle w:val="Normal"/>
        <w:numPr>
          <w:ilvl w:val="1"/>
          <w:numId w:val="1"/>
        </w:numPr>
        <w:spacing w:lineRule="auto" w:line="480"/>
        <w:rPr>
          <w:lang w:val="en-US"/>
        </w:rPr>
      </w:pPr>
      <w:r>
        <w:rPr/>
        <w:t>there are no liabilities of the corporation for taxes or to the best of the vendor's knowledge, any grounds for an action, suit, investigation, arbitration proceedings, or other proceedings, assessments, reassessment or requests for information outstanding or threatened against the corporation with respect to taxes;</w:t>
      </w:r>
    </w:p>
    <w:p>
      <w:pPr>
        <w:pStyle w:val="Normal"/>
        <w:spacing w:lineRule="auto" w:line="480"/>
        <w:rPr>
          <w:i/>
          <w:iCs/>
          <w:lang w:val="en-US"/>
        </w:rPr>
      </w:pPr>
      <w:r>
        <w:rPr>
          <w:i/>
          <w:iCs/>
          <w:lang w:val="en-US"/>
        </w:rPr>
        <w:t>No broker</w:t>
      </w:r>
    </w:p>
    <w:p>
      <w:pPr>
        <w:pStyle w:val="Normal"/>
        <w:numPr>
          <w:ilvl w:val="1"/>
          <w:numId w:val="1"/>
        </w:numPr>
        <w:spacing w:lineRule="auto" w:line="480"/>
        <w:rPr>
          <w:lang w:val="en-US"/>
        </w:rPr>
      </w:pPr>
      <w:r>
        <w:rPr/>
        <w:t>the vendor has carried on all negotiations relating to this agreement and the transactions contemplated by this agreement without intervention on its behalf of any other party in such a manner as to give rise to any valid claim for a brokerage commission, finder's fee, or other like payment against the purchaser or the corporation; and</w:t>
      </w:r>
    </w:p>
    <w:p>
      <w:pPr>
        <w:pStyle w:val="Normal"/>
        <w:spacing w:lineRule="auto" w:line="480"/>
        <w:rPr>
          <w:i/>
          <w:iCs/>
        </w:rPr>
      </w:pPr>
      <w:r>
        <w:rPr>
          <w:i/>
          <w:iCs/>
        </w:rPr>
        <w:t>Insurance</w:t>
      </w:r>
    </w:p>
    <w:p>
      <w:pPr>
        <w:pStyle w:val="Normal"/>
        <w:numPr>
          <w:ilvl w:val="1"/>
          <w:numId w:val="1"/>
        </w:numPr>
        <w:spacing w:lineRule="auto" w:line="480"/>
        <w:rPr>
          <w:lang w:val="en-US"/>
        </w:rPr>
      </w:pPr>
      <w:r>
        <w:rPr>
          <w:lang w:val="en-US"/>
        </w:rPr>
        <w:t xml:space="preserve">the insurance policies of the corporation are listed hereto in schedule C and are in good standing and effective at the Closing Date. </w:t>
      </w:r>
    </w:p>
    <w:p>
      <w:pPr>
        <w:pStyle w:val="Normal"/>
        <w:spacing w:lineRule="auto" w:line="480"/>
        <w:rPr>
          <w:i/>
          <w:iCs/>
          <w:lang w:val="en-US"/>
        </w:rPr>
      </w:pPr>
      <w:r>
        <w:rPr>
          <w:i/>
          <w:iCs/>
          <w:lang w:val="en-US"/>
        </w:rPr>
        <w:t>Survival</w:t>
      </w:r>
    </w:p>
    <w:p>
      <w:pPr>
        <w:pStyle w:val="Normal"/>
        <w:numPr>
          <w:ilvl w:val="0"/>
          <w:numId w:val="1"/>
        </w:numPr>
        <w:bidi w:val="0"/>
        <w:spacing w:lineRule="auto" w:line="480"/>
        <w:ind w:hanging="397" w:start="397"/>
        <w:rPr/>
      </w:pPr>
      <w:r>
        <w:rPr/>
        <w:t>The representations and warranties made in the agreement survive the closing of the purchase and completion of this agreement for a period of two (2) years from the closing date.</w:t>
      </w:r>
    </w:p>
    <w:p>
      <w:pPr>
        <w:pStyle w:val="Normal"/>
        <w:bidi w:val="0"/>
        <w:spacing w:lineRule="auto" w:line="480"/>
        <w:ind w:hanging="397" w:start="397"/>
        <w:rPr/>
      </w:pPr>
      <w:r>
        <w:rPr>
          <w:i/>
          <w:iCs/>
        </w:rPr>
        <w:t>Indemnification</w:t>
      </w:r>
    </w:p>
    <w:p>
      <w:pPr>
        <w:pStyle w:val="Normal"/>
        <w:numPr>
          <w:ilvl w:val="0"/>
          <w:numId w:val="1"/>
        </w:numPr>
        <w:bidi w:val="0"/>
        <w:spacing w:lineRule="auto" w:line="480"/>
        <w:ind w:hanging="397" w:start="397"/>
        <w:rPr/>
      </w:pPr>
      <w:r>
        <w:rPr/>
        <w:t>The vendor must indemnify and save harmless the corporation and purchaser from and against any claims, damages, losses, or liabilities that arise from the corporation or its activities before the closing date.</w:t>
      </w:r>
    </w:p>
    <w:p>
      <w:pPr>
        <w:pStyle w:val="Normal"/>
        <w:spacing w:lineRule="auto" w:line="480"/>
        <w:rPr>
          <w:i/>
          <w:iCs/>
          <w:lang w:val="en-US"/>
        </w:rPr>
      </w:pPr>
      <w:r>
        <w:rPr>
          <w:i/>
          <w:iCs/>
          <w:lang w:val="en-US"/>
        </w:rPr>
        <w:t xml:space="preserve">Purchaser’s representations and warranties </w:t>
      </w:r>
    </w:p>
    <w:p>
      <w:pPr>
        <w:pStyle w:val="Normal"/>
        <w:numPr>
          <w:ilvl w:val="0"/>
          <w:numId w:val="1"/>
        </w:numPr>
        <w:spacing w:lineRule="auto" w:line="480"/>
        <w:rPr>
          <w:lang w:val="en-US"/>
        </w:rPr>
      </w:pPr>
      <w:r>
        <w:rPr>
          <w:lang w:val="en-US"/>
        </w:rPr>
        <w:t xml:space="preserve">The purchaser represents and warrants to the vendor as follows: </w:t>
      </w:r>
    </w:p>
    <w:p>
      <w:pPr>
        <w:pStyle w:val="ListParagraph"/>
        <w:numPr>
          <w:ilvl w:val="1"/>
          <w:numId w:val="1"/>
        </w:numPr>
        <w:spacing w:lineRule="auto" w:line="480"/>
        <w:rPr>
          <w:rFonts w:ascii="Times New Roman" w:hAnsi="Times New Roman" w:cs="Times New Roman"/>
          <w:lang w:val="en-US"/>
        </w:rPr>
      </w:pPr>
      <w:r>
        <w:rPr>
          <w:rFonts w:cs="Times New Roman" w:ascii="Times New Roman" w:hAnsi="Times New Roman"/>
          <w:lang w:val="en-US"/>
        </w:rPr>
        <w:t xml:space="preserve">the purchaser is corporation incorporated and existing under the laws of </w:t>
      </w:r>
      <w:r>
        <w:rPr>
          <w:rFonts w:cs="Times New Roman" w:ascii="Times New Roman" w:hAnsi="Times New Roman"/>
          <w:shd w:fill="FFFF00" w:val="clear"/>
          <w:lang w:val="en-US"/>
        </w:rPr>
        <w:t>Yukon</w:t>
      </w:r>
      <w:r>
        <w:rPr>
          <w:rFonts w:cs="Times New Roman" w:ascii="Times New Roman" w:hAnsi="Times New Roman"/>
          <w:lang w:val="en-US"/>
        </w:rPr>
        <w:t xml:space="preserve">; </w:t>
      </w:r>
    </w:p>
    <w:p>
      <w:pPr>
        <w:pStyle w:val="ListParagraph"/>
        <w:numPr>
          <w:ilvl w:val="1"/>
          <w:numId w:val="1"/>
        </w:numPr>
        <w:spacing w:lineRule="auto" w:line="480"/>
        <w:rPr>
          <w:rFonts w:ascii="Times New Roman" w:hAnsi="Times New Roman" w:cs="Times New Roman"/>
          <w:lang w:val="en-US"/>
        </w:rPr>
      </w:pPr>
      <w:r>
        <w:rPr>
          <w:rFonts w:cs="Times New Roman" w:ascii="Times New Roman" w:hAnsi="Times New Roman"/>
          <w:lang w:val="en-US"/>
        </w:rPr>
        <w:t>the purchaser has the corporate power to enter into and perform its obligations under this agreement;</w:t>
      </w:r>
    </w:p>
    <w:p>
      <w:pPr>
        <w:pStyle w:val="ListParagraph"/>
        <w:numPr>
          <w:ilvl w:val="1"/>
          <w:numId w:val="1"/>
        </w:numPr>
        <w:spacing w:lineRule="auto" w:line="480"/>
        <w:rPr>
          <w:rFonts w:ascii="Times New Roman" w:hAnsi="Times New Roman" w:cs="Times New Roman"/>
          <w:lang w:val="en-US"/>
        </w:rPr>
      </w:pPr>
      <w:r>
        <w:rPr>
          <w:rFonts w:cs="Times New Roman" w:ascii="Times New Roman" w:hAnsi="Times New Roman"/>
          <w:lang w:val="en-US"/>
        </w:rPr>
        <w:t xml:space="preserve">the execution and delivery of, and performance by the purchaser of the agreement and the purchase of the purchased shares: </w:t>
      </w:r>
    </w:p>
    <w:p>
      <w:pPr>
        <w:pStyle w:val="ListParagraph"/>
        <w:numPr>
          <w:ilvl w:val="2"/>
          <w:numId w:val="1"/>
        </w:numPr>
        <w:spacing w:lineRule="auto" w:line="480"/>
        <w:rPr>
          <w:rFonts w:ascii="Times New Roman" w:hAnsi="Times New Roman" w:cs="Times New Roman"/>
          <w:lang w:val="en-US"/>
        </w:rPr>
      </w:pPr>
      <w:r>
        <w:rPr>
          <w:rFonts w:cs="Times New Roman" w:ascii="Times New Roman" w:hAnsi="Times New Roman"/>
          <w:lang w:val="en-US"/>
        </w:rPr>
        <w:t>will not conflict of result in a violation or breach of the terms, conditions or provisions of the purchaser’s constating documents of the bylaws of the purchaser;</w:t>
      </w:r>
    </w:p>
    <w:p>
      <w:pPr>
        <w:pStyle w:val="ListParagraph"/>
        <w:numPr>
          <w:ilvl w:val="2"/>
          <w:numId w:val="1"/>
        </w:numPr>
        <w:spacing w:lineRule="auto" w:line="480"/>
        <w:rPr>
          <w:rFonts w:ascii="Times New Roman" w:hAnsi="Times New Roman" w:cs="Times New Roman"/>
          <w:lang w:val="en-US"/>
        </w:rPr>
      </w:pPr>
      <w:r>
        <w:rPr>
          <w:rFonts w:cs="Times New Roman" w:ascii="Times New Roman" w:hAnsi="Times New Roman"/>
          <w:lang w:val="en-US"/>
        </w:rPr>
        <w:t xml:space="preserve">has been duly authorized by all necessary corporate action on behalf of the purchaser. </w:t>
      </w:r>
    </w:p>
    <w:p>
      <w:pPr>
        <w:pStyle w:val="Normal"/>
        <w:spacing w:lineRule="auto" w:line="480"/>
        <w:rPr>
          <w:i/>
          <w:iCs/>
          <w:lang w:val="en-US"/>
        </w:rPr>
      </w:pPr>
      <w:r>
        <w:rPr>
          <w:i/>
          <w:iCs/>
          <w:lang w:val="en-US"/>
        </w:rPr>
        <w:t>Survival of representations and warranties</w:t>
      </w:r>
    </w:p>
    <w:p>
      <w:pPr>
        <w:pStyle w:val="ListNumber"/>
        <w:numPr>
          <w:ilvl w:val="0"/>
          <w:numId w:val="1"/>
        </w:numPr>
        <w:spacing w:lineRule="auto" w:line="480"/>
        <w:rPr/>
      </w:pPr>
      <w:r>
        <w:rPr/>
        <w:t xml:space="preserve">The representations and warranties of the parties shall survive the closing for </w:t>
      </w:r>
      <w:r>
        <w:rPr>
          <w:highlight w:val="yellow"/>
        </w:rPr>
        <w:t>XX</w:t>
      </w:r>
      <w:r>
        <w:rPr/>
        <w:t xml:space="preserve"> months from the Closing Date and, notwithstanding such closing or any investigation made by or on behalf of the vendor, shall continue in full force and effect for the benefit of the vendor during such period.</w:t>
      </w:r>
    </w:p>
    <w:p>
      <w:pPr>
        <w:pStyle w:val="Normal"/>
        <w:spacing w:lineRule="auto" w:line="480"/>
        <w:rPr>
          <w:b/>
          <w:bCs/>
          <w:lang w:val="en-US"/>
        </w:rPr>
      </w:pPr>
      <w:r>
        <w:rPr>
          <w:b/>
          <w:bCs/>
          <w:lang w:val="en-US"/>
        </w:rPr>
        <w:t xml:space="preserve">PART V – Interim covenants </w:t>
      </w:r>
    </w:p>
    <w:p>
      <w:pPr>
        <w:pStyle w:val="Normal"/>
        <w:spacing w:lineRule="auto" w:line="480"/>
        <w:rPr>
          <w:i/>
          <w:iCs/>
          <w:lang w:val="en-US"/>
        </w:rPr>
      </w:pPr>
      <w:r>
        <w:rPr>
          <w:i/>
          <w:iCs/>
          <w:lang w:val="en-US"/>
        </w:rPr>
        <w:t xml:space="preserve">Vendor’s covenants between signing and closing </w:t>
      </w:r>
    </w:p>
    <w:p>
      <w:pPr>
        <w:pStyle w:val="ListNumber"/>
        <w:numPr>
          <w:ilvl w:val="0"/>
          <w:numId w:val="1"/>
        </w:numPr>
        <w:spacing w:lineRule="auto" w:line="480"/>
        <w:rPr/>
      </w:pPr>
      <w:r>
        <w:rPr/>
        <w:t>The vendor jointly and severally covenants to the purchaser that, during the period from the date of this agreement to the Closing Date:</w:t>
      </w:r>
    </w:p>
    <w:p>
      <w:pPr>
        <w:pStyle w:val="ListNumber"/>
        <w:numPr>
          <w:ilvl w:val="1"/>
          <w:numId w:val="1"/>
        </w:numPr>
        <w:spacing w:lineRule="auto" w:line="480"/>
        <w:rPr/>
      </w:pPr>
      <w:r>
        <w:rPr/>
        <w:t>the vendor shall make the real property of the corporation available for inspection for a Phase 1 Environmental review. For clarity, any such inspection or report shall be at the sole cost of the purchaser;</w:t>
      </w:r>
    </w:p>
    <w:p>
      <w:pPr>
        <w:pStyle w:val="ListNumber"/>
        <w:numPr>
          <w:ilvl w:val="1"/>
          <w:numId w:val="1"/>
        </w:numPr>
        <w:spacing w:lineRule="auto" w:line="480"/>
        <w:rPr/>
      </w:pPr>
      <w:r>
        <w:rPr/>
        <w:t>the vendor shall, and shall cause the corporation to permit the purchaser to examine all books, documents, records, accounts and files of the corporation and the corporation's property and assets, it being understood that no examination by the purchaser will waive, diminish the scope of, or otherwise affect any representation or warranty made by the vendor;</w:t>
      </w:r>
    </w:p>
    <w:p>
      <w:pPr>
        <w:pStyle w:val="ListNumber"/>
        <w:numPr>
          <w:ilvl w:val="1"/>
          <w:numId w:val="1"/>
        </w:numPr>
        <w:spacing w:lineRule="auto" w:line="480"/>
        <w:rPr/>
      </w:pPr>
      <w:r>
        <w:rPr/>
        <w:t>the vendor shall use reasonable commercial efforts to preserve the business and the goodwill of the corporation, to retain the services of the employees and to preserve the relationships of the corporation with suppliers, customers and others having business relations with it;</w:t>
      </w:r>
    </w:p>
    <w:p>
      <w:pPr>
        <w:pStyle w:val="ListNumber"/>
        <w:numPr>
          <w:ilvl w:val="1"/>
          <w:numId w:val="1"/>
        </w:numPr>
        <w:spacing w:lineRule="auto" w:line="480"/>
        <w:rPr/>
      </w:pPr>
      <w:r>
        <w:rPr/>
        <w:t>the vendor shall ensure that the corporation does not, without the prior written consent of the purchaser, do or agree to do any of the following:</w:t>
      </w:r>
    </w:p>
    <w:p>
      <w:pPr>
        <w:pStyle w:val="ListNumber"/>
        <w:numPr>
          <w:ilvl w:val="2"/>
          <w:numId w:val="1"/>
        </w:numPr>
        <w:spacing w:lineRule="auto" w:line="480"/>
        <w:rPr/>
      </w:pPr>
      <w:r>
        <w:rPr/>
        <w:t>enter into any transaction or incur any obligation or liability, except in the ordinary course of business;</w:t>
      </w:r>
    </w:p>
    <w:p>
      <w:pPr>
        <w:pStyle w:val="ListNumber"/>
        <w:numPr>
          <w:ilvl w:val="2"/>
          <w:numId w:val="1"/>
        </w:numPr>
        <w:spacing w:lineRule="auto" w:line="480"/>
        <w:rPr/>
      </w:pPr>
      <w:r>
        <w:rPr/>
        <w:t>take any step to dissolve, wind-up or otherwise affect its continuing corporate existence or amalgamate or merge with any company or amend the corporation's articles or by-laws;</w:t>
      </w:r>
    </w:p>
    <w:p>
      <w:pPr>
        <w:pStyle w:val="ListNumber"/>
        <w:numPr>
          <w:ilvl w:val="2"/>
          <w:numId w:val="1"/>
        </w:numPr>
        <w:spacing w:lineRule="auto" w:line="480"/>
        <w:rPr/>
      </w:pPr>
      <w:r>
        <w:rPr/>
        <w:t>create or assume any long-term indebtedness or guarantee the obligations of any third party, except in the ordinary course of business;</w:t>
      </w:r>
    </w:p>
    <w:p>
      <w:pPr>
        <w:pStyle w:val="ListNumber"/>
        <w:numPr>
          <w:ilvl w:val="2"/>
          <w:numId w:val="1"/>
        </w:numPr>
        <w:spacing w:lineRule="auto" w:line="480"/>
        <w:rPr/>
      </w:pPr>
      <w:r>
        <w:rPr/>
        <w:t>purchase, sell, lease or otherwise alienate or dispose of any of the property or assets of the business, except in the ordinary course of business;</w:t>
      </w:r>
    </w:p>
    <w:p>
      <w:pPr>
        <w:pStyle w:val="ListNumber"/>
        <w:numPr>
          <w:ilvl w:val="2"/>
          <w:numId w:val="1"/>
        </w:numPr>
        <w:spacing w:lineRule="auto" w:line="480"/>
        <w:rPr/>
      </w:pPr>
      <w:r>
        <w:rPr/>
        <w:t>cancel, waive or vary the terms of any debt owing to or any claim or right of the corporation;</w:t>
      </w:r>
    </w:p>
    <w:p>
      <w:pPr>
        <w:pStyle w:val="ListNumber"/>
        <w:numPr>
          <w:ilvl w:val="2"/>
          <w:numId w:val="1"/>
        </w:numPr>
        <w:spacing w:lineRule="auto" w:line="480"/>
        <w:rPr/>
      </w:pPr>
      <w:r>
        <w:rPr/>
        <w:t>issue any shares or other securities or make any change in the number or class of or rights attached to any issued or unissued shares of its capital stock or grant, issue or make any option, warrant, subscription, convertible security or other right or commitment to purchase or acquire any shares of its capital stock or other securities;</w:t>
      </w:r>
    </w:p>
    <w:p>
      <w:pPr>
        <w:pStyle w:val="ListNumber"/>
        <w:numPr>
          <w:ilvl w:val="2"/>
          <w:numId w:val="1"/>
        </w:numPr>
        <w:spacing w:lineRule="auto" w:line="480"/>
        <w:rPr/>
      </w:pPr>
      <w:r>
        <w:rPr/>
        <w:t>enter into any new agreement or arrangement with any officers, directors, agents or employees of the corporation or amend any existing agreement or arrangement with any of those persons, except in the ordinary course of business;</w:t>
      </w:r>
    </w:p>
    <w:p>
      <w:pPr>
        <w:pStyle w:val="ListNumber"/>
        <w:numPr>
          <w:ilvl w:val="2"/>
          <w:numId w:val="1"/>
        </w:numPr>
        <w:spacing w:lineRule="auto" w:line="480"/>
        <w:rPr/>
      </w:pPr>
      <w:r>
        <w:rPr/>
        <w:t>refrain from taking any reasonable action that would prevent any of the representations and warranties of the vendor under this agreement from becoming not true and correct at the Closing Time; or</w:t>
      </w:r>
    </w:p>
    <w:p>
      <w:pPr>
        <w:pStyle w:val="ListNumber"/>
        <w:numPr>
          <w:ilvl w:val="2"/>
          <w:numId w:val="1"/>
        </w:numPr>
        <w:spacing w:lineRule="auto" w:line="480"/>
        <w:rPr/>
      </w:pPr>
      <w:r>
        <w:rPr/>
        <w:t>take any other action that would cause any of the representations and warranties of the vendor under this agreement to not be true and correct at the Closing Time.</w:t>
      </w:r>
    </w:p>
    <w:p>
      <w:pPr>
        <w:pStyle w:val="ListNumber"/>
        <w:numPr>
          <w:ilvl w:val="0"/>
          <w:numId w:val="0"/>
        </w:numPr>
        <w:spacing w:lineRule="auto" w:line="480"/>
        <w:ind w:hanging="0" w:start="0"/>
        <w:rPr/>
      </w:pPr>
      <w:r>
        <w:rPr>
          <w:i/>
          <w:iCs/>
        </w:rPr>
        <w:t xml:space="preserve">Tax return provisions </w:t>
      </w:r>
    </w:p>
    <w:p>
      <w:pPr>
        <w:pStyle w:val="ListNumber"/>
        <w:numPr>
          <w:ilvl w:val="0"/>
          <w:numId w:val="1"/>
        </w:numPr>
        <w:spacing w:lineRule="auto" w:line="480"/>
        <w:rPr/>
      </w:pPr>
      <w:r>
        <w:rPr/>
        <w:t>The vendor shall, at their cost, cause the corporation to prepare and file in a timely fashion all tax returns required under any applicable tax legislation to be filed by the corporation for:</w:t>
      </w:r>
    </w:p>
    <w:p>
      <w:pPr>
        <w:pStyle w:val="ListNumber"/>
        <w:numPr>
          <w:ilvl w:val="1"/>
          <w:numId w:val="1"/>
        </w:numPr>
        <w:spacing w:lineRule="auto" w:line="480"/>
        <w:rPr/>
      </w:pPr>
      <w:r>
        <w:rPr/>
        <w:t>any period ending on or before the Closing Date (including as a consequence of the closing) and for which tax returns have not been filed as of that date; and</w:t>
      </w:r>
    </w:p>
    <w:p>
      <w:pPr>
        <w:pStyle w:val="ListNumber"/>
        <w:numPr>
          <w:ilvl w:val="1"/>
          <w:numId w:val="1"/>
        </w:numPr>
        <w:spacing w:lineRule="auto" w:line="480"/>
        <w:rPr/>
      </w:pPr>
      <w:r>
        <w:rPr/>
        <w:t xml:space="preserve">any period beginning prior to the Closing Date and ending after the Closing Date. </w:t>
      </w:r>
    </w:p>
    <w:p>
      <w:pPr>
        <w:pStyle w:val="ListNumber"/>
        <w:numPr>
          <w:ilvl w:val="0"/>
          <w:numId w:val="1"/>
        </w:numPr>
        <w:spacing w:lineRule="auto" w:line="480"/>
        <w:rPr/>
      </w:pPr>
      <w:r>
        <w:rPr/>
        <w:t xml:space="preserve">(1) The vendor and the purchaser shall co-operate fully in good faith with each other and make available to each other in a timely fashion any information in their respective possession that is reasonably required for the preparation and filing of stub period returns. </w:t>
      </w:r>
    </w:p>
    <w:p>
      <w:pPr>
        <w:pStyle w:val="ListNumber"/>
        <w:numPr>
          <w:ilvl w:val="0"/>
          <w:numId w:val="0"/>
        </w:numPr>
        <w:spacing w:lineRule="auto" w:line="480"/>
        <w:ind w:hanging="0" w:start="363"/>
        <w:rPr/>
      </w:pPr>
      <w:r>
        <w:rPr/>
        <w:t xml:space="preserve">(2) The vendor and the purchaser shall preserve the information referred to in sub-section (1) in their respective possession until the expiration of any applicable limitation period under any applicable tax legislation. </w:t>
      </w:r>
    </w:p>
    <w:p>
      <w:pPr>
        <w:pStyle w:val="ListNumber"/>
        <w:numPr>
          <w:ilvl w:val="0"/>
          <w:numId w:val="0"/>
        </w:numPr>
        <w:spacing w:lineRule="auto" w:line="480"/>
        <w:ind w:hanging="0" w:start="363"/>
        <w:rPr/>
      </w:pPr>
      <w:r>
        <w:rPr/>
        <w:t>(3) The vendor shall provide to the purchaser (and its tax advisors) for its review and approval a copy of the stub period returns and tax returns 30 days prior to filing and the purchaser will have the opportunity to fully comment on those stub period returns.</w:t>
      </w:r>
    </w:p>
    <w:p>
      <w:pPr>
        <w:pStyle w:val="ListNumber"/>
        <w:numPr>
          <w:ilvl w:val="0"/>
          <w:numId w:val="1"/>
        </w:numPr>
        <w:spacing w:lineRule="auto" w:line="480"/>
        <w:rPr/>
      </w:pPr>
      <w:r>
        <w:rPr/>
        <w:t xml:space="preserve">(1) From and after the Closing Date, the purchaser shall cause the corporation to retain, until the expiration of any applicable limitation period under any applicable tax legislation, all books and records relating to any period ending on or before the Closing Date (including as a consequence of closing) and that are reasonably required for the purpose of the preparation and filing of stub period returns. </w:t>
      </w:r>
    </w:p>
    <w:p>
      <w:pPr>
        <w:pStyle w:val="ListNumber"/>
        <w:numPr>
          <w:ilvl w:val="0"/>
          <w:numId w:val="0"/>
        </w:numPr>
        <w:spacing w:lineRule="auto" w:line="480"/>
        <w:ind w:hanging="0" w:start="363"/>
        <w:rPr/>
      </w:pPr>
      <w:r>
        <w:rPr/>
        <w:t>(2) So long as the books and records referred to in sub-section (1) are retained by the corporation, the vendor may inspect the same for the purpose of the preparation and filing of stub period returns.</w:t>
      </w:r>
    </w:p>
    <w:p>
      <w:pPr>
        <w:pStyle w:val="ListNumber"/>
        <w:numPr>
          <w:ilvl w:val="0"/>
          <w:numId w:val="1"/>
        </w:numPr>
        <w:spacing w:lineRule="auto" w:line="480"/>
        <w:rPr/>
      </w:pPr>
      <w:r>
        <w:rPr/>
        <w:t xml:space="preserve">(1) After closing, the purchaser shall cause the corporation to co-operate in a reasonable manner with the vendor and their representatives for the purposes of the preparation of each vendor's accounts and the tax returns and in providing any information in the possession of the corporation and that is reasonably required for those purposes. </w:t>
      </w:r>
    </w:p>
    <w:p>
      <w:pPr>
        <w:pStyle w:val="ListNumber"/>
        <w:numPr>
          <w:ilvl w:val="0"/>
          <w:numId w:val="0"/>
        </w:numPr>
        <w:spacing w:lineRule="auto" w:line="480"/>
        <w:ind w:hanging="0" w:start="363"/>
        <w:rPr/>
      </w:pPr>
      <w:r>
        <w:rPr/>
        <w:t>(2) The purchaser shall, upon reasonable notice, cause the corporation to provide the vendor and their representatives reasonable access to those books and records in the possession of the corporation that are reasonably required for the preparation of each vendor's accounts and the tax returns together with the assistance of those employees of the corporation that the vendor may reasonably request.</w:t>
      </w:r>
    </w:p>
    <w:p>
      <w:pPr>
        <w:pStyle w:val="Normal"/>
        <w:spacing w:lineRule="auto" w:line="480"/>
        <w:rPr>
          <w:b/>
          <w:bCs/>
          <w:lang w:val="en-US"/>
        </w:rPr>
      </w:pPr>
      <w:r>
        <w:rPr>
          <w:b/>
          <w:bCs/>
          <w:lang w:val="en-US"/>
        </w:rPr>
        <w:t xml:space="preserve">PART VI – Conditions of closing </w:t>
      </w:r>
    </w:p>
    <w:p>
      <w:pPr>
        <w:pStyle w:val="Normal"/>
        <w:numPr>
          <w:ilvl w:val="0"/>
          <w:numId w:val="1"/>
        </w:numPr>
        <w:spacing w:lineRule="auto" w:line="480"/>
        <w:rPr>
          <w:lang w:val="en-US"/>
        </w:rPr>
      </w:pPr>
      <w:r>
        <w:rPr>
          <w:lang w:val="en-US"/>
        </w:rPr>
        <w:t xml:space="preserve">The sale and </w:t>
      </w:r>
      <w:r>
        <w:rPr/>
        <w:t>purchase of the purchased shares is subject to the satisfaction or waiver, at or before the Closing Time, each of the following conditions:</w:t>
      </w:r>
    </w:p>
    <w:p>
      <w:pPr>
        <w:pStyle w:val="ListParagraph"/>
        <w:numPr>
          <w:ilvl w:val="1"/>
          <w:numId w:val="1"/>
        </w:numPr>
        <w:spacing w:lineRule="auto" w:line="480"/>
        <w:rPr>
          <w:rFonts w:ascii="Times New Roman" w:hAnsi="Times New Roman" w:cs="Times New Roman"/>
          <w:lang w:val="en-US"/>
        </w:rPr>
      </w:pPr>
      <w:r>
        <w:rPr>
          <w:rFonts w:cs="Times New Roman" w:ascii="Times New Roman" w:hAnsi="Times New Roman"/>
        </w:rPr>
        <w:t>all representations and warranties of the vendor contained in this agreement will have been true and correct in all material respects on the date of this agreement and will be true and correct in all material respects at the Closing Time with the same force and effect as if those representations and warranties had been made at and as of that time, and the vendor will have executed and delivered a certificate to that effect;</w:t>
      </w:r>
    </w:p>
    <w:p>
      <w:pPr>
        <w:pStyle w:val="ListParagraph"/>
        <w:numPr>
          <w:ilvl w:val="1"/>
          <w:numId w:val="1"/>
        </w:numPr>
        <w:spacing w:lineRule="auto" w:line="480"/>
        <w:rPr>
          <w:rFonts w:ascii="Times New Roman" w:hAnsi="Times New Roman" w:cs="Times New Roman"/>
          <w:lang w:val="en-US"/>
        </w:rPr>
      </w:pPr>
      <w:r>
        <w:rPr>
          <w:rFonts w:cs="Times New Roman" w:ascii="Times New Roman" w:hAnsi="Times New Roman"/>
        </w:rPr>
        <w:t>the vendor will have performed or complied with, in all material respects, all obligations and covenants contained in this agreement to be performed or complied with by it at or before the Closing Time, and the vendor will have executed and delivered a certificate to that effect;</w:t>
      </w:r>
    </w:p>
    <w:p>
      <w:pPr>
        <w:pStyle w:val="ListParagraph"/>
        <w:numPr>
          <w:ilvl w:val="1"/>
          <w:numId w:val="1"/>
        </w:numPr>
        <w:spacing w:lineRule="auto" w:line="480"/>
        <w:rPr>
          <w:rFonts w:ascii="Times New Roman" w:hAnsi="Times New Roman" w:cs="Times New Roman"/>
          <w:lang w:val="en-US"/>
        </w:rPr>
      </w:pPr>
      <w:r>
        <w:rPr>
          <w:rFonts w:cs="Times New Roman" w:ascii="Times New Roman" w:hAnsi="Times New Roman"/>
        </w:rPr>
        <w:t>no substantial claim (as determined by the parties, acting reasonably) shall have been made, or threatened to be made, against the corporation; and</w:t>
      </w:r>
    </w:p>
    <w:p>
      <w:pPr>
        <w:pStyle w:val="ListParagraph"/>
        <w:numPr>
          <w:ilvl w:val="1"/>
          <w:numId w:val="1"/>
        </w:numPr>
        <w:spacing w:lineRule="auto" w:line="480"/>
        <w:rPr>
          <w:rFonts w:ascii="Times New Roman" w:hAnsi="Times New Roman" w:cs="Times New Roman"/>
          <w:lang w:val="en-US"/>
        </w:rPr>
      </w:pPr>
      <w:r>
        <w:rPr>
          <w:rFonts w:cs="Times New Roman" w:ascii="Times New Roman" w:hAnsi="Times New Roman"/>
        </w:rPr>
        <w:t>all documents required to be delivered by the vendor to close the within transaction, shall have been delivered to the purchaser's solicitors.</w:t>
      </w:r>
    </w:p>
    <w:p>
      <w:pPr>
        <w:pStyle w:val="Normal"/>
        <w:numPr>
          <w:ilvl w:val="0"/>
          <w:numId w:val="1"/>
        </w:numPr>
        <w:spacing w:lineRule="auto" w:line="480"/>
        <w:rPr>
          <w:lang w:val="en-US"/>
        </w:rPr>
      </w:pPr>
      <w:r>
        <w:rPr>
          <w:lang w:val="en-US"/>
        </w:rPr>
        <w:t xml:space="preserve">For certainty, if the purchaser and vendor proceed with closing, the purchaser will be deemed to have waived the foregoing conditions. </w:t>
      </w:r>
    </w:p>
    <w:p>
      <w:pPr>
        <w:pStyle w:val="Normal"/>
        <w:spacing w:lineRule="auto" w:line="480"/>
        <w:rPr>
          <w:b/>
          <w:bCs/>
        </w:rPr>
      </w:pPr>
      <w:r>
        <w:rPr>
          <w:b/>
          <w:bCs/>
        </w:rPr>
        <w:t xml:space="preserve">Part VII – Closing arrangements </w:t>
      </w:r>
      <w:bookmarkStart w:id="2" w:name="__DdeLink__359_2630702551"/>
      <w:bookmarkEnd w:id="2"/>
      <w:r>
        <w:rPr>
          <w:lang w:val="en-US"/>
        </w:rPr>
        <w:t xml:space="preserve"> </w:t>
      </w:r>
    </w:p>
    <w:p>
      <w:pPr>
        <w:pStyle w:val="Normal"/>
        <w:numPr>
          <w:ilvl w:val="0"/>
          <w:numId w:val="1"/>
        </w:numPr>
        <w:spacing w:lineRule="auto" w:line="480"/>
        <w:ind w:hanging="340" w:start="340"/>
        <w:rPr>
          <w:lang w:val="en-US"/>
        </w:rPr>
      </w:pPr>
      <w:r>
        <w:rPr>
          <w:lang w:val="en-US"/>
        </w:rPr>
        <w:t xml:space="preserve">The parties will perform each and every obligation required by this agreement on or before 1600 on </w:t>
      </w:r>
      <w:r>
        <w:rPr>
          <w:shd w:fill="FFFF00" w:val="clear"/>
          <w:lang w:val="en-US"/>
        </w:rPr>
        <w:t>XX</w:t>
      </w:r>
      <w:r>
        <w:rPr>
          <w:lang w:val="en-US"/>
        </w:rPr>
        <w:t>.</w:t>
      </w:r>
    </w:p>
    <w:p>
      <w:pPr>
        <w:pStyle w:val="Normal"/>
        <w:spacing w:lineRule="auto" w:line="480"/>
        <w:rPr>
          <w:i/>
          <w:iCs/>
          <w:lang w:val="en-US"/>
        </w:rPr>
      </w:pPr>
      <w:r>
        <w:rPr>
          <w:i/>
          <w:iCs/>
        </w:rPr>
        <w:t>Closing procedures</w:t>
      </w:r>
    </w:p>
    <w:p>
      <w:pPr>
        <w:pStyle w:val="Normal"/>
        <w:numPr>
          <w:ilvl w:val="0"/>
          <w:numId w:val="1"/>
        </w:numPr>
        <w:spacing w:lineRule="auto" w:line="480"/>
        <w:ind w:hanging="340" w:start="340"/>
        <w:rPr>
          <w:lang w:val="en-US"/>
        </w:rPr>
      </w:pPr>
      <w:r>
        <w:rPr>
          <w:lang w:val="en-US"/>
        </w:rPr>
        <w:t xml:space="preserve">(1) </w:t>
        <w:tab/>
        <w:t>On</w:t>
      </w:r>
      <w:r>
        <w:rPr/>
        <w:t xml:space="preserve"> or before the closing on the closing date, the vendor and the purchasers shall take all necessary or desirable actions, steps, and corporate proceedings to properly authorize and complete the transactions set out in this agreement; and the vendor shall deliver to the purchaser</w:t>
      </w:r>
      <w:r>
        <w:rPr>
          <w:lang w:val="en-US"/>
        </w:rPr>
        <w:t xml:space="preserve">: </w:t>
      </w:r>
    </w:p>
    <w:p>
      <w:pPr>
        <w:pStyle w:val="Normal"/>
        <w:numPr>
          <w:ilvl w:val="1"/>
          <w:numId w:val="1"/>
        </w:numPr>
        <w:spacing w:lineRule="auto" w:line="480"/>
        <w:ind w:hanging="340" w:start="680"/>
        <w:rPr>
          <w:lang w:val="en-US"/>
        </w:rPr>
      </w:pPr>
      <w:r>
        <w:rPr>
          <w:lang w:val="en-US"/>
        </w:rPr>
        <w:t xml:space="preserve">the share certificates in fully transferable form, along with a resolution authorizing their transfer; </w:t>
      </w:r>
    </w:p>
    <w:p>
      <w:pPr>
        <w:pStyle w:val="Normal"/>
        <w:numPr>
          <w:ilvl w:val="1"/>
          <w:numId w:val="1"/>
        </w:numPr>
        <w:spacing w:lineRule="auto" w:line="480"/>
        <w:ind w:hanging="340" w:start="680"/>
        <w:rPr>
          <w:lang w:val="en-US"/>
        </w:rPr>
      </w:pPr>
      <w:r>
        <w:rPr>
          <w:lang w:val="en-US"/>
        </w:rPr>
        <w:t xml:space="preserve">a duly executed transfer and conveyance of the shares to the purchasers; </w:t>
      </w:r>
    </w:p>
    <w:p>
      <w:pPr>
        <w:pStyle w:val="Normal"/>
        <w:numPr>
          <w:ilvl w:val="1"/>
          <w:numId w:val="1"/>
        </w:numPr>
        <w:spacing w:lineRule="auto" w:line="480"/>
        <w:ind w:hanging="340" w:start="680"/>
        <w:rPr>
          <w:lang w:val="en-US"/>
        </w:rPr>
      </w:pPr>
      <w:r>
        <w:rPr>
          <w:lang w:val="en-US"/>
        </w:rPr>
        <w:t xml:space="preserve">all required transfers, assignments, consents, elections (and related materials) under the </w:t>
      </w:r>
      <w:r>
        <w:rPr>
          <w:i/>
          <w:iCs/>
          <w:lang w:val="en-US"/>
        </w:rPr>
        <w:t>Income Tax Act</w:t>
      </w:r>
      <w:r>
        <w:rPr>
          <w:lang w:val="en-US"/>
        </w:rPr>
        <w:t xml:space="preserve"> (Canada), and any other documents that the parties or their solicitors reasonably consider necessary or desirable to validly and effectively complete the transfer of the shares to the purchasers.</w:t>
      </w:r>
    </w:p>
    <w:p>
      <w:pPr>
        <w:pStyle w:val="Normal"/>
        <w:spacing w:lineRule="auto" w:line="480"/>
        <w:rPr>
          <w:i/>
          <w:iCs/>
          <w:lang w:val="en-US"/>
        </w:rPr>
      </w:pPr>
      <w:r>
        <w:rPr>
          <w:i/>
          <w:iCs/>
          <w:lang w:val="en-US"/>
        </w:rPr>
        <w:t>Conditions for the purchaser’s benefit</w:t>
      </w:r>
    </w:p>
    <w:p>
      <w:pPr>
        <w:pStyle w:val="Normal"/>
        <w:numPr>
          <w:ilvl w:val="0"/>
          <w:numId w:val="1"/>
        </w:numPr>
        <w:spacing w:lineRule="auto" w:line="480"/>
        <w:ind w:hanging="331" w:start="546"/>
        <w:rPr>
          <w:lang w:val="en-US"/>
        </w:rPr>
      </w:pPr>
      <w:r>
        <w:rPr/>
        <w:t>On or before closing, the vendor must complete each of the following conditions for the purchaser’s exclusive benefit:</w:t>
      </w:r>
    </w:p>
    <w:p>
      <w:pPr>
        <w:pStyle w:val="Normal"/>
        <w:numPr>
          <w:ilvl w:val="1"/>
          <w:numId w:val="1"/>
        </w:numPr>
        <w:spacing w:lineRule="auto" w:line="480"/>
        <w:ind w:hanging="340" w:start="907"/>
        <w:rPr>
          <w:lang w:val="en-US"/>
        </w:rPr>
      </w:pPr>
      <w:r>
        <w:rPr/>
        <w:t>the sale of the corporation’s capital and shares has been duly authorized and approved by special resolution of the corporation’s board of directors;</w:t>
      </w:r>
    </w:p>
    <w:p>
      <w:pPr>
        <w:pStyle w:val="Normal"/>
        <w:numPr>
          <w:ilvl w:val="1"/>
          <w:numId w:val="1"/>
        </w:numPr>
        <w:spacing w:lineRule="auto" w:line="480"/>
        <w:ind w:hanging="340" w:start="907"/>
        <w:rPr>
          <w:lang w:val="en-US"/>
        </w:rPr>
      </w:pPr>
      <w:r>
        <w:rPr/>
        <w:t>the sale of the corporation’s capital and shares has been ratified by special resolution of the corporation’s shareholders;</w:t>
      </w:r>
    </w:p>
    <w:p>
      <w:pPr>
        <w:pStyle w:val="Normal"/>
        <w:numPr>
          <w:ilvl w:val="1"/>
          <w:numId w:val="1"/>
        </w:numPr>
        <w:spacing w:lineRule="auto" w:line="480"/>
        <w:ind w:hanging="340" w:start="907"/>
        <w:rPr>
          <w:lang w:val="en-US"/>
        </w:rPr>
      </w:pPr>
      <w:r>
        <w:rPr/>
        <w:t>certified copies of the corporate proceedings required by paragraphs a and b have been delivered to the purchaser;</w:t>
      </w:r>
    </w:p>
    <w:p>
      <w:pPr>
        <w:pStyle w:val="Normal"/>
        <w:numPr>
          <w:ilvl w:val="1"/>
          <w:numId w:val="1"/>
        </w:numPr>
        <w:spacing w:lineRule="auto" w:line="480"/>
        <w:ind w:hanging="340" w:start="907"/>
        <w:rPr>
          <w:lang w:val="en-US"/>
        </w:rPr>
      </w:pPr>
      <w:r>
        <w:rPr/>
        <w:t>all other corporate and legal proceedings deemed necessary by the purchaser’s solicitor to properly effect the sale of the corporation’s capital and shares have been completed to the purchaser’s satisfaction;</w:t>
      </w:r>
    </w:p>
    <w:p>
      <w:pPr>
        <w:pStyle w:val="Normal"/>
        <w:numPr>
          <w:ilvl w:val="1"/>
          <w:numId w:val="1"/>
        </w:numPr>
        <w:spacing w:lineRule="auto" w:line="480"/>
        <w:ind w:hanging="340" w:start="907"/>
        <w:rPr>
          <w:lang w:val="en-US"/>
        </w:rPr>
      </w:pPr>
      <w:r>
        <w:rPr>
          <w:lang w:val="en-US"/>
        </w:rPr>
        <w:t>the corporation’s books of account and records have been brought and maintained up-to-date in proper form;</w:t>
      </w:r>
    </w:p>
    <w:p>
      <w:pPr>
        <w:pStyle w:val="Normal"/>
        <w:numPr>
          <w:ilvl w:val="1"/>
          <w:numId w:val="1"/>
        </w:numPr>
        <w:spacing w:lineRule="auto" w:line="480"/>
        <w:ind w:hanging="340" w:start="907"/>
        <w:rPr/>
      </w:pPr>
      <w:r>
        <w:rPr/>
        <w:t xml:space="preserve">   </w:t>
      </w:r>
      <w:r>
        <w:rPr/>
        <w:t>the corporation’s real and movable property is in good and marketable condition, free from any liens, attachments, or other undisclosed claims or encumbrances;</w:t>
      </w:r>
    </w:p>
    <w:p>
      <w:pPr>
        <w:pStyle w:val="Normal"/>
        <w:numPr>
          <w:ilvl w:val="1"/>
          <w:numId w:val="1"/>
        </w:numPr>
        <w:spacing w:lineRule="auto" w:line="480"/>
        <w:ind w:hanging="340" w:start="907"/>
        <w:rPr/>
      </w:pPr>
      <w:r>
        <w:rPr/>
        <w:t>the vendor has provided all means of access to the corporation’s physical and digital assets; and</w:t>
      </w:r>
    </w:p>
    <w:p>
      <w:pPr>
        <w:pStyle w:val="Normal"/>
        <w:numPr>
          <w:ilvl w:val="1"/>
          <w:numId w:val="1"/>
        </w:numPr>
        <w:spacing w:lineRule="auto" w:line="480"/>
        <w:ind w:hanging="340" w:start="907"/>
        <w:rPr/>
      </w:pPr>
      <w:r>
        <w:rPr>
          <w:color w:val="000000"/>
        </w:rPr>
        <w:t>the vendor</w:t>
      </w:r>
      <w:r>
        <w:rPr/>
        <w:t xml:space="preserve"> will have resigned as a director and officer of the corporation, such resignation in form and content satisfactory to the purchaser.</w:t>
      </w:r>
    </w:p>
    <w:p>
      <w:pPr>
        <w:pStyle w:val="Normal"/>
        <w:spacing w:lineRule="auto" w:line="480"/>
        <w:rPr>
          <w:i/>
          <w:iCs/>
        </w:rPr>
      </w:pPr>
      <w:r>
        <w:rPr>
          <w:i/>
          <w:iCs/>
        </w:rPr>
        <w:t xml:space="preserve">Date, place and time of closing </w:t>
      </w:r>
    </w:p>
    <w:p>
      <w:pPr>
        <w:pStyle w:val="Normal"/>
        <w:numPr>
          <w:ilvl w:val="0"/>
          <w:numId w:val="1"/>
        </w:numPr>
        <w:spacing w:lineRule="auto" w:line="480"/>
        <w:ind w:hanging="397" w:start="397"/>
        <w:rPr/>
      </w:pPr>
      <w:r>
        <w:rPr/>
        <w:t xml:space="preserve">The closing of the sale and purchase of the purchased shares will take place at </w:t>
      </w:r>
      <w:r>
        <w:rPr>
          <w:highlight w:val="yellow"/>
        </w:rPr>
        <w:t>XX</w:t>
      </w:r>
      <w:r>
        <w:rPr/>
        <w:t xml:space="preserve"> on the Closing Date electronically through the offices of the purchaser’s solicitors and the vendor’s solicitors or at such other place, on such other date and at such other time as may be agreed upon in writing by the parties; provided that, the vendor and purchaser agree that, notwithstanding the Closing Time, the effective time of the transfer of the purchased shares from the vendor to the purchaser shall be </w:t>
      </w:r>
      <w:r>
        <w:rPr>
          <w:highlight w:val="yellow"/>
        </w:rPr>
        <w:t>XX.</w:t>
      </w:r>
      <w:r>
        <w:rPr/>
        <w:t xml:space="preserve"> </w:t>
      </w:r>
    </w:p>
    <w:p>
      <w:pPr>
        <w:pStyle w:val="Normal"/>
        <w:spacing w:lineRule="auto" w:line="480"/>
        <w:rPr>
          <w:i/>
          <w:iCs/>
        </w:rPr>
      </w:pPr>
      <w:r>
        <w:rPr>
          <w:i/>
          <w:iCs/>
        </w:rPr>
        <w:t xml:space="preserve">Payments and deliveries at closing </w:t>
      </w:r>
    </w:p>
    <w:p>
      <w:pPr>
        <w:pStyle w:val="Normal"/>
        <w:numPr>
          <w:ilvl w:val="0"/>
          <w:numId w:val="1"/>
        </w:numPr>
        <w:spacing w:lineRule="auto" w:line="480"/>
        <w:ind w:hanging="397" w:start="397"/>
        <w:rPr/>
      </w:pPr>
      <w:r>
        <w:rPr/>
        <w:t xml:space="preserve">At the Closing Time, as applicable: </w:t>
      </w:r>
    </w:p>
    <w:p>
      <w:pPr>
        <w:pStyle w:val="ListParagraph"/>
        <w:numPr>
          <w:ilvl w:val="1"/>
          <w:numId w:val="1"/>
        </w:numPr>
        <w:spacing w:lineRule="auto" w:line="480"/>
        <w:rPr>
          <w:rFonts w:ascii="Times New Roman" w:hAnsi="Times New Roman" w:cs="Times New Roman"/>
        </w:rPr>
      </w:pPr>
      <w:r>
        <w:rPr>
          <w:rFonts w:cs="Times New Roman" w:ascii="Times New Roman" w:hAnsi="Times New Roman"/>
        </w:rPr>
        <w:t>the purchaser shall pay or direct to be paid the portion of the purchase price payable on the Closing Date to the vendor’s solicitors by way of wire transfer;</w:t>
      </w:r>
    </w:p>
    <w:p>
      <w:pPr>
        <w:pStyle w:val="ListParagraph"/>
        <w:numPr>
          <w:ilvl w:val="1"/>
          <w:numId w:val="1"/>
        </w:numPr>
        <w:spacing w:lineRule="auto" w:line="480"/>
        <w:rPr>
          <w:rFonts w:ascii="Times New Roman" w:hAnsi="Times New Roman" w:cs="Times New Roman"/>
        </w:rPr>
      </w:pPr>
      <w:r>
        <w:rPr>
          <w:rFonts w:cs="Times New Roman" w:ascii="Times New Roman" w:hAnsi="Times New Roman"/>
        </w:rPr>
        <w:t>the vendor shall deliver to the purchaser share certificates representing the purchased shares, duly endorsed in blank for transfer, or accompanied by irrevocable security transfer powers of attorney duly executed in blank;</w:t>
      </w:r>
    </w:p>
    <w:p>
      <w:pPr>
        <w:pStyle w:val="ListParagraph"/>
        <w:numPr>
          <w:ilvl w:val="1"/>
          <w:numId w:val="1"/>
        </w:numPr>
        <w:spacing w:lineRule="auto" w:line="480"/>
        <w:rPr>
          <w:rFonts w:ascii="Times New Roman" w:hAnsi="Times New Roman" w:cs="Times New Roman"/>
        </w:rPr>
      </w:pPr>
      <w:r>
        <w:rPr>
          <w:rFonts w:cs="Times New Roman" w:ascii="Times New Roman" w:hAnsi="Times New Roman"/>
        </w:rPr>
        <w:t xml:space="preserve">the vendor shall deliver to the purchaser the following in form and substance satisfactory to the purchaser, acting reasonably:   </w:t>
      </w:r>
    </w:p>
    <w:p>
      <w:pPr>
        <w:pStyle w:val="ListParagraph"/>
        <w:numPr>
          <w:ilvl w:val="2"/>
          <w:numId w:val="1"/>
        </w:numPr>
        <w:spacing w:lineRule="auto" w:line="480"/>
        <w:rPr>
          <w:rFonts w:ascii="Times New Roman" w:hAnsi="Times New Roman" w:cs="Times New Roman"/>
        </w:rPr>
      </w:pPr>
      <w:r>
        <w:rPr>
          <w:rFonts w:cs="Times New Roman" w:ascii="Times New Roman" w:hAnsi="Times New Roman"/>
        </w:rPr>
        <w:t>certified copies resolutions of the board of directors of the corporation authorising transfer of the purchase shares and shareholder loans to the purchaser;</w:t>
      </w:r>
    </w:p>
    <w:p>
      <w:pPr>
        <w:pStyle w:val="ListParagraph"/>
        <w:numPr>
          <w:ilvl w:val="2"/>
          <w:numId w:val="1"/>
        </w:numPr>
        <w:spacing w:lineRule="auto" w:line="480"/>
        <w:rPr>
          <w:rFonts w:ascii="Times New Roman" w:hAnsi="Times New Roman" w:cs="Times New Roman"/>
        </w:rPr>
      </w:pPr>
      <w:r>
        <w:rPr>
          <w:rFonts w:cs="Times New Roman" w:ascii="Times New Roman" w:hAnsi="Times New Roman"/>
        </w:rPr>
        <w:t>resignation and release from the vendor concerning their roles with the corporation;</w:t>
      </w:r>
    </w:p>
    <w:p>
      <w:pPr>
        <w:pStyle w:val="ListParagraph"/>
        <w:numPr>
          <w:ilvl w:val="2"/>
          <w:numId w:val="1"/>
        </w:numPr>
        <w:spacing w:lineRule="auto" w:line="480"/>
        <w:rPr>
          <w:rFonts w:ascii="Times New Roman" w:hAnsi="Times New Roman" w:cs="Times New Roman"/>
        </w:rPr>
      </w:pPr>
      <w:r>
        <w:rPr>
          <w:rFonts w:cs="Times New Roman" w:ascii="Times New Roman" w:hAnsi="Times New Roman"/>
        </w:rPr>
        <w:t>such other documents as may reasonably be requested by the purchaser in order to complete the transactions contemplated herein;</w:t>
      </w:r>
    </w:p>
    <w:p>
      <w:pPr>
        <w:pStyle w:val="ListParagraph"/>
        <w:numPr>
          <w:ilvl w:val="2"/>
          <w:numId w:val="1"/>
        </w:numPr>
        <w:spacing w:lineRule="auto" w:line="480"/>
        <w:rPr>
          <w:rFonts w:ascii="Times New Roman" w:hAnsi="Times New Roman" w:cs="Times New Roman"/>
        </w:rPr>
      </w:pPr>
      <w:r>
        <w:rPr>
          <w:rFonts w:cs="Times New Roman" w:ascii="Times New Roman" w:hAnsi="Times New Roman"/>
        </w:rPr>
        <w:t>security documents concerning the vendor backed loan;</w:t>
      </w:r>
    </w:p>
    <w:p>
      <w:pPr>
        <w:pStyle w:val="ListParagraph"/>
        <w:numPr>
          <w:ilvl w:val="2"/>
          <w:numId w:val="1"/>
        </w:numPr>
        <w:spacing w:lineRule="auto" w:line="480"/>
        <w:rPr>
          <w:rFonts w:ascii="Times New Roman" w:hAnsi="Times New Roman" w:cs="Times New Roman"/>
        </w:rPr>
      </w:pPr>
      <w:r>
        <w:rPr>
          <w:rFonts w:cs="Times New Roman" w:ascii="Times New Roman" w:hAnsi="Times New Roman"/>
        </w:rPr>
        <w:t>a certificate of status, compliance, good standing or like certificate with respect to the purchaser, issued by the appropriate government authority in its jurisdiction of incorporation;</w:t>
      </w:r>
    </w:p>
    <w:p>
      <w:pPr>
        <w:pStyle w:val="ListParagraph"/>
        <w:numPr>
          <w:ilvl w:val="2"/>
          <w:numId w:val="1"/>
        </w:numPr>
        <w:spacing w:lineRule="auto" w:line="480"/>
        <w:rPr>
          <w:rFonts w:ascii="Times New Roman" w:hAnsi="Times New Roman" w:cs="Times New Roman"/>
        </w:rPr>
      </w:pPr>
      <w:r>
        <w:rPr>
          <w:rFonts w:cs="Times New Roman" w:ascii="Times New Roman" w:hAnsi="Times New Roman"/>
        </w:rPr>
        <w:t>such other documents as may reasonably be requested by the vendor in order to complete the transactions contemplated hereon;</w:t>
      </w:r>
    </w:p>
    <w:p>
      <w:pPr>
        <w:pStyle w:val="ListParagraph"/>
        <w:numPr>
          <w:ilvl w:val="2"/>
          <w:numId w:val="1"/>
        </w:numPr>
        <w:spacing w:lineRule="auto" w:line="480"/>
        <w:rPr>
          <w:rFonts w:ascii="Times New Roman" w:hAnsi="Times New Roman" w:cs="Times New Roman"/>
        </w:rPr>
      </w:pPr>
      <w:r>
        <w:rPr>
          <w:rFonts w:cs="Times New Roman" w:ascii="Times New Roman" w:hAnsi="Times New Roman"/>
        </w:rPr>
        <w:t>evidence that all necessary steps and proceedings to permit the purchased shares to be transferred to the purchaser has been taken;</w:t>
      </w:r>
    </w:p>
    <w:p>
      <w:pPr>
        <w:pStyle w:val="ListParagraph"/>
        <w:numPr>
          <w:ilvl w:val="2"/>
          <w:numId w:val="1"/>
        </w:numPr>
        <w:spacing w:lineRule="auto" w:line="480"/>
        <w:rPr>
          <w:rFonts w:ascii="Times New Roman" w:hAnsi="Times New Roman" w:cs="Times New Roman"/>
        </w:rPr>
      </w:pPr>
      <w:r>
        <w:rPr>
          <w:rFonts w:cs="Times New Roman" w:ascii="Times New Roman" w:hAnsi="Times New Roman"/>
        </w:rPr>
        <w:t xml:space="preserve">certified copies of resolutions of the purchaser authorizing entering into and completion of the transactions contemplated by this agreement. </w:t>
      </w:r>
    </w:p>
    <w:p>
      <w:pPr>
        <w:pStyle w:val="Normal"/>
        <w:spacing w:lineRule="auto" w:line="480"/>
        <w:rPr>
          <w:b/>
          <w:bCs/>
        </w:rPr>
      </w:pPr>
      <w:r>
        <w:rPr>
          <w:b/>
          <w:bCs/>
        </w:rPr>
        <w:t xml:space="preserve">PART VIII – Post-Closing Employment </w:t>
      </w:r>
    </w:p>
    <w:p>
      <w:pPr>
        <w:pStyle w:val="Normal"/>
        <w:spacing w:lineRule="auto" w:line="480"/>
        <w:rPr>
          <w:i/>
          <w:iCs/>
        </w:rPr>
      </w:pPr>
      <w:r>
        <w:rPr>
          <w:i/>
          <w:iCs/>
        </w:rPr>
        <w:t xml:space="preserve">Continued employment </w:t>
      </w:r>
    </w:p>
    <w:p>
      <w:pPr>
        <w:pStyle w:val="Normal"/>
        <w:numPr>
          <w:ilvl w:val="0"/>
          <w:numId w:val="1"/>
        </w:numPr>
        <w:spacing w:lineRule="auto" w:line="480"/>
        <w:ind w:hanging="397" w:start="397"/>
        <w:rPr/>
      </w:pPr>
      <w:r>
        <w:rPr/>
        <w:t xml:space="preserve">Effective as of the Closing Date, the corporation shall continue to employ </w:t>
      </w:r>
      <w:r>
        <w:rPr>
          <w:highlight w:val="yellow"/>
        </w:rPr>
        <w:t>XX</w:t>
      </w:r>
      <w:r>
        <w:rPr/>
        <w:t xml:space="preserve"> (the “Employee”) for a transition period consisting or up to </w:t>
      </w:r>
      <w:r>
        <w:rPr>
          <w:highlight w:val="yellow"/>
        </w:rPr>
        <w:t>XX</w:t>
      </w:r>
      <w:r>
        <w:rPr/>
        <w:t xml:space="preserve"> months following the Closing Date, on a </w:t>
      </w:r>
      <w:r>
        <w:rPr>
          <w:highlight w:val="yellow"/>
        </w:rPr>
        <w:t>XX</w:t>
      </w:r>
      <w:r>
        <w:rPr/>
        <w:t xml:space="preserve"> basis (the “Transitions Period”) to provide operational, managerial, and transition support services in connection with the business, as reasonably requested by the purchaser. </w:t>
      </w:r>
    </w:p>
    <w:p>
      <w:pPr>
        <w:pStyle w:val="Normal"/>
        <w:numPr>
          <w:ilvl w:val="0"/>
          <w:numId w:val="1"/>
        </w:numPr>
        <w:spacing w:lineRule="auto" w:line="480"/>
        <w:ind w:hanging="397" w:start="397"/>
        <w:rPr/>
      </w:pPr>
      <w:r>
        <w:rPr/>
        <w:t xml:space="preserve">During the Transition Period, the employee shall continue in substantially the same role with substantially the same duties and responsibilities as immediately prior to closing, or such other duties as may be reasonably agreed between the corporation dn the employee, consistent with the needs of the business during the transitions, not exceeding </w:t>
      </w:r>
      <w:r>
        <w:rPr>
          <w:highlight w:val="yellow"/>
        </w:rPr>
        <w:t>XX</w:t>
      </w:r>
      <w:r>
        <w:rPr/>
        <w:t xml:space="preserve"> hours per week of work. </w:t>
      </w:r>
    </w:p>
    <w:p>
      <w:pPr>
        <w:pStyle w:val="ListNumber"/>
        <w:numPr>
          <w:ilvl w:val="0"/>
          <w:numId w:val="1"/>
        </w:numPr>
        <w:spacing w:lineRule="auto" w:line="480"/>
        <w:rPr/>
      </w:pPr>
      <w:r>
        <w:rPr/>
        <w:t xml:space="preserve">The corporation shall ensure that the employee's employment during the Transition Period complies in all respects with the minimum standards prescribed under the </w:t>
      </w:r>
      <w:r>
        <w:rPr>
          <w:i/>
        </w:rPr>
        <w:t>Employment Standards Act</w:t>
      </w:r>
      <w:r>
        <w:rPr/>
        <w:t>, RSY 2002, c 72 and applicable regulations, including without limitation standards relating to wages, hours of work, overtime, statutory holidays, vacation pay, leaves of absence, and termination entitlements.</w:t>
      </w:r>
    </w:p>
    <w:p>
      <w:pPr>
        <w:pStyle w:val="Normal"/>
        <w:numPr>
          <w:ilvl w:val="0"/>
          <w:numId w:val="1"/>
        </w:numPr>
        <w:spacing w:lineRule="auto" w:line="480"/>
        <w:ind w:hanging="397" w:start="397"/>
        <w:rPr/>
      </w:pPr>
      <w:r>
        <w:rPr/>
        <w:t>During the Transition Period, the employee shall be paid total compensation of $</w:t>
      </w:r>
      <w:r>
        <w:rPr>
          <w:highlight w:val="yellow"/>
        </w:rPr>
        <w:t>X/day</w:t>
      </w:r>
      <w:r>
        <w:rPr/>
        <w:t xml:space="preserve">, payable in accordance with the corporation’s normal payroll practices and subject to applicable statutory withholdings and deductions. The corporation shall pay the employee’s cost of travel to and from </w:t>
      </w:r>
      <w:r>
        <w:rPr>
          <w:highlight w:val="yellow"/>
        </w:rPr>
        <w:t>XX.</w:t>
      </w:r>
      <w:r>
        <w:rPr/>
        <w:t xml:space="preserve"> </w:t>
      </w:r>
    </w:p>
    <w:p>
      <w:pPr>
        <w:pStyle w:val="Normal"/>
        <w:numPr>
          <w:ilvl w:val="0"/>
          <w:numId w:val="1"/>
        </w:numPr>
        <w:spacing w:lineRule="auto" w:line="480"/>
        <w:ind w:hanging="397" w:start="397"/>
        <w:rPr/>
      </w:pPr>
      <w:r>
        <w:rPr/>
        <w:t xml:space="preserve">During the Transition Period, the employee shall continue to be eligible to participate in any employee benefit plans, policies, or programs of the corporation for which they are eligible, on the same basis as other similarly situated employees, subject to the terms of such plans and applicable law. </w:t>
      </w:r>
    </w:p>
    <w:p>
      <w:pPr>
        <w:pStyle w:val="Normal"/>
        <w:numPr>
          <w:ilvl w:val="0"/>
          <w:numId w:val="1"/>
        </w:numPr>
        <w:spacing w:lineRule="auto" w:line="480"/>
        <w:ind w:hanging="397" w:start="397"/>
        <w:rPr/>
      </w:pPr>
      <w:r>
        <w:rPr/>
        <w:t xml:space="preserve">Nothing in this agreement shall be construed to create employment for a fixed term beyond the Transition Period. The employee’s employment may be terminated to the expiry of the Transition Period in accordance with applicable law, provided that the corporation Complies with all notice, severance, and other obligations required under the </w:t>
      </w:r>
      <w:r>
        <w:rPr>
          <w:i/>
        </w:rPr>
        <w:t>Employment Standards Act</w:t>
      </w:r>
      <w:r>
        <w:rPr/>
        <w:t>, RSY 2002. C 72.</w:t>
      </w:r>
    </w:p>
    <w:p>
      <w:pPr>
        <w:pStyle w:val="BodyText"/>
        <w:spacing w:lineRule="auto" w:line="480" w:before="0" w:after="0"/>
        <w:ind w:hanging="680" w:start="680"/>
        <w:rPr>
          <w:rFonts w:ascii="Times New Roman" w:hAnsi="Times New Roman"/>
          <w:b/>
          <w:bCs/>
        </w:rPr>
      </w:pPr>
      <w:r>
        <w:rPr>
          <w:rFonts w:ascii="Times New Roman" w:hAnsi="Times New Roman"/>
          <w:b/>
          <w:bCs/>
        </w:rPr>
        <w:t>PART IX – Contract administration</w:t>
      </w:r>
    </w:p>
    <w:p>
      <w:pPr>
        <w:pStyle w:val="Normal"/>
        <w:numPr>
          <w:ilvl w:val="0"/>
          <w:numId w:val="1"/>
        </w:numPr>
        <w:spacing w:lineRule="auto" w:line="480"/>
        <w:ind w:hanging="397" w:start="397"/>
        <w:rPr/>
      </w:pPr>
      <w:bookmarkStart w:id="3" w:name="__DdeLink__359_2630702551_Copy_1"/>
      <w:r>
        <w:rPr>
          <w:lang w:val="en-US"/>
        </w:rPr>
        <w:t xml:space="preserve">Time is of essence in the performance of the obligations and privileges established by this agreement. </w:t>
      </w:r>
      <w:bookmarkEnd w:id="3"/>
      <w:r>
        <w:rPr>
          <w:lang w:val="en-US"/>
        </w:rPr>
        <w:t xml:space="preserve"> </w:t>
      </w:r>
    </w:p>
    <w:p>
      <w:pPr>
        <w:pStyle w:val="BodyText"/>
        <w:ind w:hanging="680" w:start="680"/>
        <w:rPr>
          <w:rFonts w:ascii="Times New Roman" w:hAnsi="Times New Roman"/>
          <w:i/>
          <w:iCs/>
        </w:rPr>
      </w:pPr>
      <w:r>
        <w:rPr>
          <w:rFonts w:ascii="Times New Roman" w:hAnsi="Times New Roman"/>
          <w:i/>
          <w:iCs/>
        </w:rPr>
        <w:t>Entire agreement</w:t>
      </w:r>
    </w:p>
    <w:p>
      <w:pPr>
        <w:pStyle w:val="Normal"/>
        <w:numPr>
          <w:ilvl w:val="0"/>
          <w:numId w:val="1"/>
        </w:numPr>
        <w:spacing w:lineRule="auto" w:line="480"/>
        <w:ind w:hanging="340" w:start="340"/>
        <w:rPr>
          <w:rFonts w:ascii="Times New Roman" w:hAnsi="Times New Roman"/>
        </w:rPr>
      </w:pPr>
      <w:r>
        <w:rPr>
          <w:rFonts w:ascii="Times New Roman" w:hAnsi="Times New Roman"/>
        </w:rPr>
        <w:t>This agreement is the entire agreement between the parties, and no prior oral or written representation survives the execution of this agreement.</w:t>
      </w:r>
    </w:p>
    <w:p>
      <w:pPr>
        <w:pStyle w:val="Normal"/>
        <w:numPr>
          <w:ilvl w:val="0"/>
          <w:numId w:val="1"/>
        </w:numPr>
        <w:spacing w:lineRule="auto" w:line="480"/>
        <w:ind w:hanging="340" w:start="340"/>
        <w:rPr>
          <w:rFonts w:ascii="Times New Roman" w:hAnsi="Times New Roman"/>
        </w:rPr>
      </w:pPr>
      <w:r>
        <w:rPr>
          <w:rFonts w:ascii="Times New Roman" w:hAnsi="Times New Roman"/>
        </w:rPr>
        <w:t>No waiver of any term in this agreement or breach of this agreement is binding unless it is reduced to writing and signed by both of the parties.</w:t>
      </w:r>
    </w:p>
    <w:p>
      <w:pPr>
        <w:pStyle w:val="Normal"/>
        <w:numPr>
          <w:ilvl w:val="0"/>
          <w:numId w:val="1"/>
        </w:numPr>
        <w:spacing w:lineRule="auto" w:line="480"/>
        <w:ind w:hanging="340" w:start="340"/>
        <w:rPr>
          <w:rFonts w:ascii="Times New Roman" w:hAnsi="Times New Roman"/>
        </w:rPr>
      </w:pPr>
      <w:r>
        <w:rPr>
          <w:rFonts w:ascii="Times New Roman" w:hAnsi="Times New Roman"/>
        </w:rPr>
        <w:t>Any waiver of this agreement is, unless otherwise specified, limited to the specific term or breach waived.</w:t>
      </w:r>
    </w:p>
    <w:p>
      <w:pPr>
        <w:pStyle w:val="BodyText"/>
        <w:ind w:hanging="397" w:start="397"/>
        <w:rPr>
          <w:rFonts w:ascii="Times New Roman" w:hAnsi="Times New Roman"/>
          <w:i/>
          <w:iCs/>
        </w:rPr>
      </w:pPr>
      <w:r>
        <w:rPr>
          <w:i/>
          <w:iCs/>
        </w:rPr>
        <w:t>Severability</w:t>
      </w:r>
    </w:p>
    <w:p>
      <w:pPr>
        <w:pStyle w:val="Normal"/>
        <w:numPr>
          <w:ilvl w:val="0"/>
          <w:numId w:val="1"/>
        </w:numPr>
        <w:spacing w:lineRule="auto" w:line="480"/>
        <w:ind w:hanging="340" w:start="340"/>
        <w:rPr>
          <w:rFonts w:ascii="Times New Roman" w:hAnsi="Times New Roman"/>
        </w:rPr>
      </w:pPr>
      <w:r>
        <w:rPr>
          <w:rFonts w:ascii="Times New Roman" w:hAnsi="Times New Roman"/>
        </w:rPr>
        <w:t>If any term of this agreement is found to be invalid or unenforceable at law, the validity or enforceability of any other provision will not be affected and continues to bind the parties.</w:t>
      </w:r>
    </w:p>
    <w:p>
      <w:pPr>
        <w:pStyle w:val="Normal"/>
        <w:spacing w:lineRule="auto" w:line="480"/>
        <w:ind w:hanging="340" w:start="340"/>
        <w:rPr>
          <w:rFonts w:ascii="Times New Roman" w:hAnsi="Times New Roman"/>
          <w:i/>
          <w:iCs/>
        </w:rPr>
      </w:pPr>
      <w:r>
        <w:rPr>
          <w:rFonts w:ascii="Times New Roman" w:hAnsi="Times New Roman"/>
          <w:i/>
          <w:iCs/>
        </w:rPr>
        <w:t>No assignment</w:t>
      </w:r>
    </w:p>
    <w:p>
      <w:pPr>
        <w:pStyle w:val="Normal"/>
        <w:numPr>
          <w:ilvl w:val="0"/>
          <w:numId w:val="1"/>
        </w:numPr>
        <w:spacing w:lineRule="auto" w:line="480"/>
        <w:ind w:hanging="340" w:start="340"/>
        <w:rPr>
          <w:rFonts w:ascii="Times New Roman" w:hAnsi="Times New Roman"/>
        </w:rPr>
      </w:pPr>
      <w:r>
        <w:rPr>
          <w:rFonts w:ascii="Times New Roman" w:hAnsi="Times New Roman"/>
        </w:rPr>
        <w:t>Neither party may assign this agreement.</w:t>
      </w:r>
    </w:p>
    <w:p>
      <w:pPr>
        <w:pStyle w:val="BodyText"/>
        <w:ind w:hanging="397" w:start="397"/>
        <w:rPr>
          <w:rFonts w:ascii="Times New Roman" w:hAnsi="Times New Roman"/>
          <w:i/>
          <w:iCs/>
        </w:rPr>
      </w:pPr>
      <w:r>
        <w:rPr>
          <w:i/>
          <w:iCs/>
        </w:rPr>
        <w:t>Amendment</w:t>
      </w:r>
    </w:p>
    <w:p>
      <w:pPr>
        <w:pStyle w:val="Normal"/>
        <w:numPr>
          <w:ilvl w:val="0"/>
          <w:numId w:val="1"/>
        </w:numPr>
        <w:spacing w:lineRule="auto" w:line="480"/>
        <w:ind w:hanging="340" w:start="340"/>
        <w:rPr>
          <w:rFonts w:ascii="Times New Roman" w:hAnsi="Times New Roman"/>
        </w:rPr>
      </w:pPr>
      <w:r>
        <w:rPr>
          <w:rFonts w:ascii="Times New Roman" w:hAnsi="Times New Roman"/>
        </w:rPr>
        <w:t>This agreement is amended when the parties provide their written consent to the text of an amendment, whereupon the text of the amendment will be scheduled to all copies of this agreement.</w:t>
      </w:r>
    </w:p>
    <w:p>
      <w:pPr>
        <w:pStyle w:val="Normal"/>
        <w:spacing w:lineRule="auto" w:line="480"/>
        <w:ind w:hanging="340" w:start="340"/>
        <w:rPr>
          <w:rFonts w:ascii="Times New Roman" w:hAnsi="Times New Roman"/>
          <w:i/>
          <w:iCs/>
        </w:rPr>
      </w:pPr>
      <w:r>
        <w:rPr>
          <w:rFonts w:ascii="Times New Roman" w:hAnsi="Times New Roman"/>
          <w:i/>
          <w:iCs/>
        </w:rPr>
        <w:t>Termination</w:t>
      </w:r>
    </w:p>
    <w:p>
      <w:pPr>
        <w:pStyle w:val="Normal"/>
        <w:numPr>
          <w:ilvl w:val="0"/>
          <w:numId w:val="1"/>
        </w:numPr>
        <w:spacing w:lineRule="auto" w:line="480"/>
        <w:ind w:hanging="340" w:start="340"/>
        <w:rPr>
          <w:rFonts w:ascii="Times New Roman" w:hAnsi="Times New Roman"/>
        </w:rPr>
      </w:pPr>
      <w:r>
        <w:rPr>
          <w:rFonts w:ascii="Times New Roman" w:hAnsi="Times New Roman"/>
        </w:rPr>
        <w:t>This agreement may be terminated at any time with the parties’ mutual consent.</w:t>
      </w:r>
    </w:p>
    <w:p>
      <w:pPr>
        <w:pStyle w:val="BodyText"/>
        <w:ind w:hanging="397" w:start="397"/>
        <w:rPr>
          <w:rFonts w:ascii="Times New Roman" w:hAnsi="Times New Roman"/>
          <w:i/>
          <w:iCs/>
        </w:rPr>
      </w:pPr>
      <w:r>
        <w:rPr>
          <w:i/>
          <w:iCs/>
        </w:rPr>
        <w:t>Frustration of contract</w:t>
      </w:r>
    </w:p>
    <w:p>
      <w:pPr>
        <w:pStyle w:val="Normal"/>
        <w:numPr>
          <w:ilvl w:val="0"/>
          <w:numId w:val="1"/>
        </w:numPr>
        <w:spacing w:lineRule="auto" w:line="480"/>
        <w:ind w:hanging="340" w:start="340"/>
        <w:rPr>
          <w:rFonts w:ascii="Times New Roman" w:hAnsi="Times New Roman"/>
        </w:rPr>
      </w:pPr>
      <w:r>
        <w:rPr>
          <w:rFonts w:ascii="Times New Roman" w:hAnsi="Times New Roman"/>
        </w:rPr>
        <w:t xml:space="preserve">(1) </w:t>
        <w:tab/>
        <w:t xml:space="preserve">This agreement may be terminated without default and without liability accruing to either party if a force majeure persists for sixty consecutive days. </w:t>
      </w:r>
    </w:p>
    <w:p>
      <w:pPr>
        <w:pStyle w:val="Normal"/>
        <w:spacing w:lineRule="auto" w:line="480"/>
        <w:ind w:start="340"/>
        <w:rPr>
          <w:rFonts w:ascii="Times New Roman" w:hAnsi="Times New Roman"/>
        </w:rPr>
      </w:pPr>
      <w:r>
        <w:rPr>
          <w:rFonts w:ascii="Times New Roman" w:hAnsi="Times New Roman"/>
        </w:rPr>
        <w:t xml:space="preserve">(2) </w:t>
        <w:tab/>
        <w:t>If this agreement is terminated pursuant to this section, the shares vest in the vendor, and the purchaser will take all required steps to ensure that the shares vest in the vendor without any delay.</w:t>
      </w:r>
    </w:p>
    <w:p>
      <w:pPr>
        <w:pStyle w:val="BodyText"/>
        <w:ind w:hanging="397" w:start="397"/>
        <w:rPr>
          <w:rFonts w:ascii="Times New Roman" w:hAnsi="Times New Roman"/>
          <w:i/>
          <w:iCs/>
        </w:rPr>
      </w:pPr>
      <w:r>
        <w:rPr>
          <w:i/>
          <w:iCs/>
        </w:rPr>
        <w:t>Dispute resolution</w:t>
      </w:r>
    </w:p>
    <w:p>
      <w:pPr>
        <w:pStyle w:val="Normal"/>
        <w:numPr>
          <w:ilvl w:val="0"/>
          <w:numId w:val="1"/>
        </w:numPr>
        <w:spacing w:lineRule="auto" w:line="480"/>
        <w:ind w:hanging="340" w:start="340"/>
        <w:rPr/>
      </w:pPr>
      <w:r>
        <w:rPr>
          <w:rFonts w:ascii="Times New Roman" w:hAnsi="Times New Roman"/>
        </w:rPr>
        <w:t xml:space="preserve">(1) </w:t>
        <w:tab/>
        <w:t xml:space="preserve">If any discrepancies, issues, disputes, harm, loss, injury, action, claim, and/or potential claim come into existence as a result of or in connection with this agreement, any such issue must be resolved by binding arbitration before a sole arbitrator instituted pursuant to the </w:t>
      </w:r>
      <w:r>
        <w:rPr>
          <w:rFonts w:ascii="Times New Roman" w:hAnsi="Times New Roman"/>
          <w:i/>
          <w:iCs/>
        </w:rPr>
        <w:t>Arbitration Act</w:t>
      </w:r>
      <w:r>
        <w:rPr>
          <w:rFonts w:ascii="Times New Roman" w:hAnsi="Times New Roman"/>
        </w:rPr>
        <w:t xml:space="preserve">, </w:t>
      </w:r>
      <w:r>
        <w:rPr>
          <w:rFonts w:ascii="Times New Roman" w:hAnsi="Times New Roman"/>
          <w:i/>
          <w:iCs/>
        </w:rPr>
        <w:t>1991</w:t>
      </w:r>
      <w:r>
        <w:rPr>
          <w:rFonts w:ascii="Times New Roman" w:hAnsi="Times New Roman"/>
        </w:rPr>
        <w:t>, RSY 2002, c 8</w:t>
      </w:r>
      <w:r>
        <w:rPr>
          <w:rFonts w:ascii="Times New Roman" w:hAnsi="Times New Roman"/>
          <w:strike/>
        </w:rPr>
        <w:t>SO 1991, c 17</w:t>
      </w:r>
      <w:r>
        <w:rPr>
          <w:rFonts w:ascii="Times New Roman" w:hAnsi="Times New Roman"/>
        </w:rPr>
        <w:t>, to the exclusion of the jurisdiction of any court, other than a court’s jurisdiction to assist the conducting of arbitrations, ensure that arbitrations are conducted in accordance with this agreement, to prevent unequal or unfair treatment of the Parties, or to enforce an arbitrator’s award.</w:t>
      </w:r>
    </w:p>
    <w:p>
      <w:pPr>
        <w:pStyle w:val="Normal"/>
        <w:spacing w:lineRule="auto" w:line="480"/>
        <w:ind w:start="340"/>
        <w:rPr/>
      </w:pPr>
      <w:r>
        <w:rPr>
          <w:rFonts w:ascii="Times New Roman" w:hAnsi="Times New Roman"/>
        </w:rPr>
        <w:t xml:space="preserve">(2) </w:t>
        <w:tab/>
        <w:t xml:space="preserve">If any disagreement, controversy, or dispute should arise between the parties to this agreement, any such issue must be resolved by binding arbitration before a sole arbitrator instituted pursuant to the </w:t>
      </w:r>
      <w:r>
        <w:rPr>
          <w:rFonts w:ascii="Times New Roman" w:hAnsi="Times New Roman"/>
          <w:i/>
          <w:iCs/>
        </w:rPr>
        <w:t xml:space="preserve">Arbitration Act, </w:t>
      </w:r>
      <w:r>
        <w:rPr>
          <w:rFonts w:ascii="Times New Roman" w:hAnsi="Times New Roman"/>
        </w:rPr>
        <w:t>RSY 2002, c 8, to the exclusion of the jurisdiction of any court, other than a court’s jurisdiction to assist the conducting of arbitrations, ensure that arbitrations are conducted in accordance with this agreement, to prevent unequal or unfair treatment of the Parties, or to enforce an arbitrator’s award.</w:t>
      </w:r>
    </w:p>
    <w:p>
      <w:pPr>
        <w:pStyle w:val="Normal"/>
        <w:spacing w:lineRule="auto" w:line="480"/>
        <w:ind w:start="340"/>
        <w:rPr/>
      </w:pPr>
      <w:r>
        <w:rPr>
          <w:rFonts w:ascii="Times New Roman" w:hAnsi="Times New Roman"/>
        </w:rPr>
        <w:t xml:space="preserve">(3) </w:t>
        <w:tab/>
      </w:r>
      <w:r>
        <w:rPr>
          <w:rFonts w:ascii="Times New Roman;serif" w:hAnsi="Times New Roman;serif"/>
        </w:rPr>
        <w:t>The parties are bound by an arbitrator’s decision or award, and the parties may not appeal from the arbitrator’s decision or award on any ground, including on a question of law or a question of mixed fact and law.</w:t>
      </w:r>
    </w:p>
    <w:p>
      <w:pPr>
        <w:pStyle w:val="Normal"/>
        <w:spacing w:lineRule="auto" w:line="480"/>
        <w:ind w:start="340"/>
        <w:rPr/>
      </w:pPr>
      <w:r>
        <w:rPr>
          <w:rFonts w:ascii="Times New Roman" w:hAnsi="Times New Roman"/>
        </w:rPr>
        <w:t xml:space="preserve">(4) </w:t>
        <w:tab/>
        <w:t>T</w:t>
      </w:r>
      <w:r>
        <w:rPr>
          <w:rFonts w:ascii="Times New Roman;serif" w:hAnsi="Times New Roman;serif"/>
        </w:rPr>
        <w:t>he parties may refer a matter to an arbitrator by delivering a written notice to arbitrate to the other party in which the facts that give rise to the dispute and the law on which the party commencing the arbitration relies is briefly set out.</w:t>
      </w:r>
    </w:p>
    <w:p>
      <w:pPr>
        <w:pStyle w:val="Normal"/>
        <w:spacing w:lineRule="auto" w:line="480"/>
        <w:ind w:start="340"/>
        <w:rPr/>
      </w:pPr>
      <w:r>
        <w:rPr>
          <w:rFonts w:ascii="Times New Roman" w:hAnsi="Times New Roman"/>
        </w:rPr>
        <w:t xml:space="preserve">(5) </w:t>
        <w:tab/>
      </w:r>
      <w:r>
        <w:rPr>
          <w:rFonts w:ascii="Times New Roman;serif" w:hAnsi="Times New Roman;serif"/>
        </w:rPr>
        <w:t>Within fifteen days of the notice to arbitrate being transmitted, the parties will exchange shortlists comprised of the names of two arbitrators.</w:t>
      </w:r>
    </w:p>
    <w:p>
      <w:pPr>
        <w:pStyle w:val="Normal"/>
        <w:spacing w:lineRule="auto" w:line="480"/>
        <w:ind w:start="340"/>
        <w:rPr/>
      </w:pPr>
      <w:r>
        <w:rPr>
          <w:rFonts w:ascii="Times New Roman" w:hAnsi="Times New Roman"/>
        </w:rPr>
        <w:t xml:space="preserve">(6) </w:t>
        <w:tab/>
      </w:r>
      <w:r>
        <w:rPr>
          <w:rFonts w:ascii="Times New Roman;serif" w:hAnsi="Times New Roman;serif"/>
        </w:rPr>
        <w:t>Within five days of the shortlists being exchanged, the parties will appoint one arbitrator from the lists of names so exchanged.</w:t>
      </w:r>
    </w:p>
    <w:p>
      <w:pPr>
        <w:pStyle w:val="Normal"/>
        <w:spacing w:lineRule="auto" w:line="480"/>
        <w:ind w:start="340"/>
        <w:rPr/>
      </w:pPr>
      <w:r>
        <w:rPr>
          <w:rFonts w:ascii="Times New Roman" w:hAnsi="Times New Roman"/>
        </w:rPr>
        <w:t xml:space="preserve">(7) </w:t>
        <w:tab/>
      </w:r>
      <w:r>
        <w:rPr>
          <w:rFonts w:ascii="Times New Roman;serif" w:hAnsi="Times New Roman;serif"/>
        </w:rPr>
        <w:t>If the parties are not able to appoint an arbitrator after the twentieth day of the notice to arbitrate being transmitted, either of the parties may ask the Alternative Dispute Resolution Institute of Canada to appoint an arbitrator.</w:t>
      </w:r>
    </w:p>
    <w:p>
      <w:pPr>
        <w:pStyle w:val="Normal"/>
        <w:spacing w:lineRule="auto" w:line="480"/>
        <w:ind w:start="340"/>
        <w:rPr/>
      </w:pPr>
      <w:r>
        <w:rPr>
          <w:rFonts w:ascii="Times New Roman" w:hAnsi="Times New Roman"/>
        </w:rPr>
        <w:t xml:space="preserve">(8) </w:t>
        <w:tab/>
      </w:r>
      <w:r>
        <w:rPr>
          <w:rFonts w:ascii="Times New Roman;serif" w:hAnsi="Times New Roman;serif"/>
        </w:rPr>
        <w:t>Any arbitrator appointed pursuant to this section must have experience with or training in the law of real estate transactions, contentious issues relating to real estate transactions, and corporate governance.</w:t>
      </w:r>
    </w:p>
    <w:p>
      <w:pPr>
        <w:pStyle w:val="Normal"/>
        <w:spacing w:lineRule="auto" w:line="480"/>
        <w:ind w:start="340"/>
        <w:rPr/>
      </w:pPr>
      <w:r>
        <w:rPr>
          <w:rFonts w:ascii="Times New Roman" w:hAnsi="Times New Roman"/>
        </w:rPr>
        <w:t xml:space="preserve">(9) </w:t>
        <w:tab/>
      </w:r>
      <w:r>
        <w:rPr>
          <w:rFonts w:ascii="Times New Roman;serif" w:hAnsi="Times New Roman;serif"/>
        </w:rPr>
        <w:t>The language of the arbitration is English.</w:t>
      </w:r>
    </w:p>
    <w:p>
      <w:pPr>
        <w:pStyle w:val="Normal"/>
        <w:spacing w:lineRule="auto" w:line="480"/>
        <w:ind w:start="340"/>
        <w:rPr/>
      </w:pPr>
      <w:r>
        <w:rPr>
          <w:rFonts w:ascii="Times New Roman" w:hAnsi="Times New Roman"/>
        </w:rPr>
        <w:t xml:space="preserve">(10) </w:t>
      </w:r>
      <w:r>
        <w:rPr>
          <w:rFonts w:ascii="Times New Roman;serif" w:hAnsi="Times New Roman;serif"/>
        </w:rPr>
        <w:t xml:space="preserve">The arbitration must be conducted in the City of </w:t>
      </w:r>
      <w:r>
        <w:rPr>
          <w:rFonts w:ascii="Times New Roman;serif" w:hAnsi="Times New Roman;serif"/>
          <w:highlight w:val="yellow"/>
        </w:rPr>
        <w:t>Hamilton.</w:t>
      </w:r>
    </w:p>
    <w:p>
      <w:pPr>
        <w:pStyle w:val="Normal"/>
        <w:spacing w:lineRule="auto" w:line="480"/>
        <w:ind w:start="340"/>
        <w:rPr/>
      </w:pPr>
      <w:r>
        <w:rPr>
          <w:rFonts w:ascii="Times New Roman" w:hAnsi="Times New Roman"/>
        </w:rPr>
        <w:t xml:space="preserve">(11) </w:t>
      </w:r>
      <w:r>
        <w:rPr>
          <w:rFonts w:ascii="Times New Roman;serif" w:hAnsi="Times New Roman;serif"/>
        </w:rPr>
        <w:t>The arbitrator will determine the most expedient and fair procedure for the arbitration and, where necessary due to the complexity of the arbitration, will apply the Alternative Dispute Resolution Institute of Canada’s rules for arbitration.</w:t>
      </w:r>
    </w:p>
    <w:p>
      <w:pPr>
        <w:pStyle w:val="Normal"/>
        <w:spacing w:lineRule="auto" w:line="480"/>
        <w:ind w:start="340"/>
        <w:rPr/>
      </w:pPr>
      <w:r>
        <w:rPr>
          <w:rFonts w:ascii="Times New Roman" w:hAnsi="Times New Roman"/>
        </w:rPr>
        <w:t xml:space="preserve">(12) </w:t>
      </w:r>
      <w:r>
        <w:rPr>
          <w:rFonts w:ascii="Times New Roman;serif" w:hAnsi="Times New Roman;serif"/>
        </w:rPr>
        <w:t>The arbitration, any procedure related to the arbitration, and all details regarding any matter that may or could be referred to an arbitrator pursuant to this agreement are, for the purposes of this agreement, confidential information.</w:t>
      </w:r>
    </w:p>
    <w:p>
      <w:pPr>
        <w:pStyle w:val="Normal"/>
        <w:spacing w:lineRule="auto" w:line="480"/>
        <w:ind w:start="340"/>
        <w:rPr/>
      </w:pPr>
      <w:r>
        <w:rPr>
          <w:rFonts w:ascii="Times New Roman" w:hAnsi="Times New Roman"/>
        </w:rPr>
        <w:t xml:space="preserve">(13) </w:t>
      </w:r>
      <w:r>
        <w:rPr>
          <w:rFonts w:ascii="Times New Roman;serif" w:hAnsi="Times New Roman;serif"/>
        </w:rPr>
        <w:t>This article survives the termination of this agreement and is deemed to apply to any dispute between the Parties with respect to the matters detailed in sub-sections (1) and (2) even after termination of this agreement.</w:t>
      </w:r>
    </w:p>
    <w:p>
      <w:pPr>
        <w:pStyle w:val="Normal"/>
        <w:spacing w:lineRule="auto" w:line="480"/>
        <w:ind w:start="340"/>
        <w:rPr>
          <w:rFonts w:ascii="Times New Roman;serif" w:hAnsi="Times New Roman;serif"/>
        </w:rPr>
      </w:pPr>
      <w:bookmarkStart w:id="4" w:name="__DdeLink__1386_823416081"/>
      <w:r>
        <w:rPr>
          <w:rFonts w:ascii="Times New Roman;serif" w:hAnsi="Times New Roman;serif"/>
        </w:rPr>
        <w:t>(14) Pre-judgment and post-judgment interest, whether awarded by an arbitrator or by a court, is fixed at two per-cent (2%) per annum for the duration of this agreement.</w:t>
      </w:r>
      <w:bookmarkEnd w:id="4"/>
    </w:p>
    <w:p>
      <w:pPr>
        <w:pStyle w:val="Normal"/>
        <w:spacing w:lineRule="auto" w:line="480"/>
        <w:rPr>
          <w:rFonts w:ascii="Times New Roman;serif" w:hAnsi="Times New Roman;serif"/>
          <w:i/>
          <w:iCs/>
        </w:rPr>
      </w:pPr>
      <w:r>
        <w:rPr>
          <w:rFonts w:ascii="Times New Roman;serif" w:hAnsi="Times New Roman;serif"/>
          <w:i/>
          <w:iCs/>
        </w:rPr>
        <w:t xml:space="preserve">Further Assurances </w:t>
      </w:r>
    </w:p>
    <w:p>
      <w:pPr>
        <w:pStyle w:val="ListParagraph"/>
        <w:numPr>
          <w:ilvl w:val="0"/>
          <w:numId w:val="1"/>
        </w:numPr>
        <w:spacing w:lineRule="auto" w:line="480"/>
        <w:rPr>
          <w:rFonts w:ascii="Times New Roman;serif" w:hAnsi="Times New Roman;serif"/>
        </w:rPr>
      </w:pPr>
      <w:r>
        <w:rPr>
          <w:rFonts w:ascii="Times New Roman;serif" w:hAnsi="Times New Roman;serif"/>
        </w:rPr>
        <w:t xml:space="preserve">Each party shall from time to time, before or after the Closing Time, execute, acknowledge and deliver or cause to be executed, acknowledged and delivered all further acts, documents and instruments as may be reasonably necessary or desirable in order to give full effect to this agreement or any provisions of it. </w:t>
      </w:r>
    </w:p>
    <w:p>
      <w:pPr>
        <w:pStyle w:val="Normal"/>
        <w:spacing w:lineRule="auto" w:line="480"/>
        <w:rPr>
          <w:rFonts w:ascii="Times New Roman;serif" w:hAnsi="Times New Roman;serif"/>
          <w:i/>
          <w:iCs/>
        </w:rPr>
      </w:pPr>
      <w:r>
        <w:rPr>
          <w:rFonts w:ascii="Times New Roman;serif" w:hAnsi="Times New Roman;serif"/>
          <w:i/>
          <w:iCs/>
        </w:rPr>
        <w:t xml:space="preserve">Costs and expenses </w:t>
      </w:r>
    </w:p>
    <w:p>
      <w:pPr>
        <w:pStyle w:val="ListParagraph"/>
        <w:numPr>
          <w:ilvl w:val="0"/>
          <w:numId w:val="1"/>
        </w:numPr>
        <w:spacing w:lineRule="auto" w:line="480" w:before="0" w:after="0"/>
        <w:contextualSpacing w:val="false"/>
        <w:rPr>
          <w:rFonts w:ascii="Times New Roman;serif" w:hAnsi="Times New Roman;serif"/>
        </w:rPr>
      </w:pPr>
      <w:r>
        <w:rPr>
          <w:rFonts w:ascii="Times New Roman;serif" w:hAnsi="Times New Roman;serif"/>
        </w:rPr>
        <w:t xml:space="preserve">Unless otherwise specified, each party shall be responsible for all costs and expenses (including the fees and disbursements of legal counsel, bankers, accountants, brokers and other advisors) incurred by it in connection with this agreement and the transactions contemplated by it. </w:t>
      </w:r>
    </w:p>
    <w:p>
      <w:pPr>
        <w:pStyle w:val="Normal"/>
        <w:spacing w:lineRule="auto" w:line="480"/>
        <w:rPr/>
      </w:pPr>
      <w:r>
        <w:rPr>
          <w:rFonts w:ascii="Times New Roman;serif" w:hAnsi="Times New Roman;serif"/>
          <w:i/>
          <w:iCs/>
        </w:rPr>
        <w:t>Waiver of rights</w:t>
      </w:r>
    </w:p>
    <w:p>
      <w:pPr>
        <w:pStyle w:val="ListNumber"/>
        <w:numPr>
          <w:ilvl w:val="0"/>
          <w:numId w:val="1"/>
        </w:numPr>
        <w:spacing w:lineRule="auto" w:line="480" w:before="0" w:after="0"/>
        <w:contextualSpacing w:val="false"/>
        <w:rPr/>
      </w:pPr>
      <w:r>
        <w:rPr/>
        <w:t xml:space="preserve">(1) Any waiver of any of the provisions of this agreement will be binding only if it is in writing and signed by the party to be bound by it, and only in the specific instance and for the specific purpose for which it has been given. </w:t>
      </w:r>
    </w:p>
    <w:p>
      <w:pPr>
        <w:pStyle w:val="ListNumber"/>
        <w:numPr>
          <w:ilvl w:val="0"/>
          <w:numId w:val="0"/>
        </w:numPr>
        <w:spacing w:lineRule="auto" w:line="480" w:before="0" w:after="0"/>
        <w:ind w:hanging="0" w:start="363"/>
        <w:contextualSpacing w:val="false"/>
        <w:rPr/>
      </w:pPr>
      <w:r>
        <w:rPr/>
        <w:t xml:space="preserve">(2) A party’s failure or delay in exercising any right under this agreement will not operate as a waiver of that right. </w:t>
      </w:r>
    </w:p>
    <w:p>
      <w:pPr>
        <w:pStyle w:val="ListNumber"/>
        <w:numPr>
          <w:ilvl w:val="0"/>
          <w:numId w:val="0"/>
        </w:numPr>
        <w:spacing w:lineRule="auto" w:line="480" w:before="0" w:after="0"/>
        <w:ind w:hanging="0" w:start="363"/>
        <w:contextualSpacing w:val="false"/>
        <w:rPr/>
      </w:pPr>
      <w:r>
        <w:rPr/>
        <w:t>(3) No single or partial exercise of any right will preclude any other or further exercise of that right or the exercise of any other right, and no waiver of any of the provisions of this agreement will constitute a waiver of any other provision (whether or not similar).</w:t>
      </w:r>
    </w:p>
    <w:p>
      <w:pPr>
        <w:pStyle w:val="Normal"/>
        <w:spacing w:lineRule="auto" w:line="480"/>
        <w:rPr/>
      </w:pPr>
      <w:r>
        <w:rPr>
          <w:rFonts w:ascii="Times New Roman;serif" w:hAnsi="Times New Roman;serif"/>
          <w:i/>
          <w:iCs/>
        </w:rPr>
        <w:t xml:space="preserve">Remedies cumulative </w:t>
      </w:r>
    </w:p>
    <w:p>
      <w:pPr>
        <w:pStyle w:val="ListNumber"/>
        <w:numPr>
          <w:ilvl w:val="0"/>
          <w:numId w:val="1"/>
        </w:numPr>
        <w:spacing w:lineRule="auto" w:line="480" w:before="0" w:after="0"/>
        <w:contextualSpacing w:val="false"/>
        <w:rPr/>
      </w:pPr>
      <w:r>
        <w:rPr/>
        <w:t xml:space="preserve">(1) Unless otherwise specified, the rights and remedies of a party under this agreement are cumulative and in addition to and without prejudice to any other rights or remedies available to that party at law, in equity, or otherwise. </w:t>
      </w:r>
    </w:p>
    <w:p>
      <w:pPr>
        <w:pStyle w:val="ListNumber"/>
        <w:numPr>
          <w:ilvl w:val="0"/>
          <w:numId w:val="0"/>
        </w:numPr>
        <w:spacing w:lineRule="auto" w:line="480" w:before="0" w:after="0"/>
        <w:ind w:hanging="0" w:start="363"/>
        <w:contextualSpacing w:val="false"/>
        <w:rPr/>
      </w:pPr>
      <w:r>
        <w:rPr/>
        <w:t>(2) No single or partial exercise by a party of any right or remedy precludes or otherwise affects the exercise of any other right or remedy to which that party may be entitled.</w:t>
      </w:r>
    </w:p>
    <w:p>
      <w:pPr>
        <w:pStyle w:val="Normal"/>
        <w:spacing w:lineRule="auto" w:line="480"/>
        <w:rPr/>
      </w:pPr>
      <w:r>
        <w:rPr>
          <w:rFonts w:ascii="Times New Roman;serif" w:hAnsi="Times New Roman;serif"/>
          <w:i/>
          <w:iCs/>
        </w:rPr>
        <w:t xml:space="preserve">Successors and assignment </w:t>
      </w:r>
    </w:p>
    <w:p>
      <w:pPr>
        <w:pStyle w:val="ListNumber"/>
        <w:numPr>
          <w:ilvl w:val="0"/>
          <w:numId w:val="1"/>
        </w:numPr>
        <w:spacing w:lineRule="auto" w:line="480" w:before="0" w:after="0"/>
        <w:contextualSpacing w:val="false"/>
        <w:rPr/>
      </w:pPr>
      <w:r>
        <w:rPr/>
        <w:t xml:space="preserve">(1) This agreement will enure to the benefit of and be binding upon the parties and their respective heirs, executors, legal representatives, successors, and permitted assigns (as applicable). </w:t>
      </w:r>
    </w:p>
    <w:p>
      <w:pPr>
        <w:pStyle w:val="ListNumber"/>
        <w:numPr>
          <w:ilvl w:val="0"/>
          <w:numId w:val="0"/>
        </w:numPr>
        <w:spacing w:lineRule="auto" w:line="480" w:before="0" w:after="0"/>
        <w:ind w:hanging="0" w:start="363"/>
        <w:contextualSpacing w:val="false"/>
        <w:rPr/>
      </w:pPr>
      <w:r>
        <w:rPr/>
        <w:t>(2) No party may assign or transfer any of the rights or obligations under this agreement without the prior written consent of the other party.</w:t>
      </w:r>
    </w:p>
    <w:p>
      <w:pPr>
        <w:pStyle w:val="ListNumber"/>
        <w:numPr>
          <w:ilvl w:val="0"/>
          <w:numId w:val="0"/>
        </w:numPr>
        <w:spacing w:lineRule="auto" w:line="480" w:before="0" w:after="0"/>
        <w:ind w:hanging="0" w:start="363"/>
        <w:contextualSpacing w:val="false"/>
        <w:rPr/>
      </w:pPr>
      <w:r>
        <w:rPr/>
        <w:t>(3) Despite sub-section (2), the purchaser may assign this agreement to a company related to the purchaser by giving written notice to the vendor.</w:t>
      </w:r>
    </w:p>
    <w:p>
      <w:pPr>
        <w:pStyle w:val="ListNumber"/>
        <w:numPr>
          <w:ilvl w:val="0"/>
          <w:numId w:val="0"/>
        </w:numPr>
        <w:spacing w:lineRule="auto" w:line="480" w:before="0" w:after="0"/>
        <w:ind w:hanging="0" w:start="363"/>
        <w:contextualSpacing w:val="false"/>
        <w:rPr/>
      </w:pPr>
      <w:r>
        <w:rPr/>
        <w:t>(4) If the purchaser assigns this agreement pursuant to sub-section (3), the purchaser remains liable for any claims or damages after such assignment.</w:t>
      </w:r>
    </w:p>
    <w:p>
      <w:pPr>
        <w:pStyle w:val="Normal"/>
        <w:spacing w:lineRule="auto" w:line="480"/>
        <w:rPr/>
      </w:pPr>
      <w:r>
        <w:rPr>
          <w:rFonts w:ascii="Times New Roman;serif" w:hAnsi="Times New Roman;serif"/>
          <w:i/>
          <w:iCs/>
        </w:rPr>
        <w:t>Governing law and attornment</w:t>
      </w:r>
    </w:p>
    <w:p>
      <w:pPr>
        <w:pStyle w:val="ListNumber"/>
        <w:numPr>
          <w:ilvl w:val="0"/>
          <w:numId w:val="1"/>
        </w:numPr>
        <w:spacing w:lineRule="auto" w:line="480" w:before="0" w:after="0"/>
        <w:contextualSpacing w:val="false"/>
        <w:rPr/>
      </w:pPr>
      <w:r>
        <w:rPr/>
        <w:t>This agreement will be construed, interpreted and enforced in accordance with the laws of Yukon and the federal laws of Canada applicable therein. Each party irrevocably attorns and submits to the exclusive jurisdiction of the courts of Yukon.</w:t>
      </w:r>
    </w:p>
    <w:p>
      <w:pPr>
        <w:pStyle w:val="BodyText"/>
        <w:spacing w:lineRule="auto" w:line="480" w:before="0" w:after="0"/>
        <w:ind w:hanging="397" w:start="397"/>
        <w:rPr/>
      </w:pPr>
      <w:r>
        <w:rPr>
          <w:rFonts w:ascii="Times New Roman" w:hAnsi="Times New Roman"/>
          <w:i/>
          <w:iCs/>
        </w:rPr>
        <w:t>Counterparts</w:t>
      </w:r>
    </w:p>
    <w:p>
      <w:pPr>
        <w:pStyle w:val="Normal"/>
        <w:numPr>
          <w:ilvl w:val="0"/>
          <w:numId w:val="1"/>
        </w:numPr>
        <w:spacing w:lineRule="auto" w:line="480"/>
        <w:ind w:hanging="340" w:start="340"/>
        <w:rPr>
          <w:rFonts w:ascii="Times New Roman" w:hAnsi="Times New Roman"/>
        </w:rPr>
      </w:pPr>
      <w:r>
        <w:rPr>
          <w:rFonts w:ascii="Times New Roman" w:hAnsi="Times New Roman"/>
        </w:rPr>
        <w:t>This agreement and any amendments hereto may be executed in one or more counterparts, each of which is deemed to be an original, and all of which together constitute one and the same agreement.</w:t>
      </w:r>
    </w:p>
    <w:p>
      <w:pPr>
        <w:pStyle w:val="Normal"/>
        <w:spacing w:lineRule="auto" w:line="480"/>
        <w:ind w:hanging="340" w:start="340"/>
        <w:rPr>
          <w:rFonts w:ascii="Times New Roman" w:hAnsi="Times New Roman"/>
        </w:rPr>
      </w:pPr>
      <w:r>
        <w:rPr>
          <w:rFonts w:ascii="Times New Roman" w:hAnsi="Times New Roman"/>
        </w:rPr>
      </w:r>
    </w:p>
    <w:p>
      <w:pPr>
        <w:pStyle w:val="Normal"/>
        <w:spacing w:lineRule="auto" w:line="480"/>
        <w:ind w:hanging="340" w:start="340"/>
        <w:jc w:val="center"/>
        <w:rPr>
          <w:rFonts w:ascii="Times New Roman" w:hAnsi="Times New Roman"/>
          <w:i/>
          <w:iCs/>
        </w:rPr>
      </w:pPr>
      <w:r>
        <w:rPr>
          <w:rFonts w:ascii="Times New Roman" w:hAnsi="Times New Roman"/>
          <w:i/>
          <w:iCs/>
        </w:rPr>
        <w:t>(Signature page follows)</w:t>
      </w:r>
    </w:p>
    <w:p>
      <w:pPr>
        <w:pStyle w:val="Normal"/>
        <w:spacing w:lineRule="auto" w:line="480"/>
        <w:ind w:hanging="340" w:start="340"/>
        <w:rPr>
          <w:rFonts w:ascii="Times New Roman" w:hAnsi="Times New Roman"/>
        </w:rPr>
      </w:pPr>
      <w:r>
        <w:rPr>
          <w:rFonts w:ascii="Times New Roman" w:hAnsi="Times New Roman"/>
        </w:rPr>
      </w:r>
    </w:p>
    <w:p>
      <w:pPr>
        <w:pStyle w:val="Normal"/>
        <w:spacing w:lineRule="auto" w:line="480"/>
        <w:ind w:hanging="340" w:start="340"/>
        <w:rPr>
          <w:rFonts w:ascii="Times New Roman" w:hAnsi="Times New Roman"/>
        </w:rPr>
      </w:pPr>
      <w:r>
        <w:rPr>
          <w:rFonts w:ascii="Times New Roman" w:hAnsi="Times New Roman"/>
        </w:rPr>
      </w:r>
    </w:p>
    <w:p>
      <w:pPr>
        <w:pStyle w:val="Normal"/>
        <w:spacing w:lineRule="auto" w:line="480"/>
        <w:ind w:hanging="340" w:start="340"/>
        <w:jc w:val="center"/>
        <w:rPr>
          <w:rFonts w:ascii="Times New Roman" w:hAnsi="Times New Roman"/>
        </w:rPr>
      </w:pPr>
      <w:r>
        <w:rPr>
          <w:rFonts w:ascii="Times New Roman" w:hAnsi="Times New Roman"/>
        </w:rPr>
      </w:r>
    </w:p>
    <w:p>
      <w:pPr>
        <w:pStyle w:val="Normal"/>
        <w:spacing w:lineRule="auto" w:line="480"/>
        <w:jc w:val="center"/>
        <w:rPr>
          <w:rFonts w:ascii="Times New Roman" w:hAnsi="Times New Roman"/>
        </w:rPr>
      </w:pPr>
      <w:r>
        <w:rPr>
          <w:rFonts w:ascii="Times New Roman" w:hAnsi="Times New Roman"/>
        </w:rPr>
      </w:r>
      <w:r>
        <w:br w:type="page"/>
      </w:r>
    </w:p>
    <w:p>
      <w:pPr>
        <w:pStyle w:val="Normal"/>
        <w:spacing w:lineRule="auto" w:line="360" w:before="0" w:after="0"/>
        <w:rPr/>
      </w:pPr>
      <w:r>
        <w:rPr>
          <w:b/>
          <w:bCs/>
        </w:rPr>
        <w:t xml:space="preserve">IN WITNESS WHEREOF </w:t>
      </w:r>
      <w:r>
        <w:rPr/>
        <w:t xml:space="preserve">the parties subscribe to and covenant to abide by the terms set forth in this agreement in their proper hands or by their corporate seals, as the case may be, in the Territory of Yukon. </w:t>
      </w:r>
    </w:p>
    <w:p>
      <w:pPr>
        <w:pStyle w:val="Normal"/>
        <w:spacing w:lineRule="auto" w:line="480"/>
        <w:rPr>
          <w:rFonts w:ascii="Times New Roman" w:hAnsi="Times New Roman"/>
        </w:rPr>
      </w:pPr>
      <w:r>
        <w:rPr>
          <w:rFonts w:ascii="Times New Roman" w:hAnsi="Times New Roman"/>
        </w:rPr>
      </w:r>
      <w:bookmarkStart w:id="5" w:name="PageNumWizard_FOOTER_Default_Page_Style1"/>
      <w:bookmarkEnd w:id="5"/>
    </w:p>
    <w:tbl>
      <w:tblPr>
        <w:tblW w:w="9360" w:type="dxa"/>
        <w:jc w:val="start"/>
        <w:tblInd w:w="55" w:type="dxa"/>
        <w:tblLayout w:type="fixed"/>
        <w:tblCellMar>
          <w:top w:w="55" w:type="dxa"/>
          <w:start w:w="55" w:type="dxa"/>
          <w:bottom w:w="55" w:type="dxa"/>
          <w:end w:w="55" w:type="dxa"/>
        </w:tblCellMar>
        <w:tblLook w:val="04a0" w:noHBand="0" w:noVBand="1" w:firstColumn="1" w:lastRow="0" w:lastColumn="0" w:firstRow="1"/>
      </w:tblPr>
      <w:tblGrid>
        <w:gridCol w:w="4358"/>
        <w:gridCol w:w="263"/>
        <w:gridCol w:w="4739"/>
      </w:tblGrid>
      <w:tr>
        <w:trPr/>
        <w:tc>
          <w:tcPr>
            <w:tcW w:w="4358" w:type="dxa"/>
            <w:tcBorders/>
          </w:tcPr>
          <w:p>
            <w:pPr>
              <w:pStyle w:val="TableContents"/>
              <w:jc w:val="center"/>
              <w:rPr/>
            </w:pPr>
            <w:r>
              <w:rPr/>
            </w:r>
          </w:p>
        </w:tc>
        <w:tc>
          <w:tcPr>
            <w:tcW w:w="263" w:type="dxa"/>
            <w:tcBorders/>
          </w:tcPr>
          <w:p>
            <w:pPr>
              <w:pStyle w:val="TableContents"/>
              <w:jc w:val="center"/>
              <w:rPr/>
            </w:pPr>
            <w:r>
              <w:rPr/>
              <w:t>)</w:t>
            </w:r>
          </w:p>
        </w:tc>
        <w:tc>
          <w:tcPr>
            <w:tcW w:w="4739" w:type="dxa"/>
            <w:tcBorders/>
          </w:tcPr>
          <w:p>
            <w:pPr>
              <w:pStyle w:val="TableContents"/>
              <w:rPr/>
            </w:pPr>
            <w:r>
              <w:rPr/>
            </w:r>
          </w:p>
        </w:tc>
      </w:tr>
      <w:tr>
        <w:trPr/>
        <w:tc>
          <w:tcPr>
            <w:tcW w:w="4358" w:type="dxa"/>
            <w:tcBorders/>
          </w:tcPr>
          <w:p>
            <w:pPr>
              <w:pStyle w:val="TableContents"/>
              <w:jc w:val="center"/>
              <w:rPr/>
            </w:pPr>
            <w:r>
              <w:rPr/>
              <w:t>Date</w:t>
            </w:r>
          </w:p>
        </w:tc>
        <w:tc>
          <w:tcPr>
            <w:tcW w:w="263" w:type="dxa"/>
            <w:tcBorders/>
          </w:tcPr>
          <w:p>
            <w:pPr>
              <w:pStyle w:val="TableContents"/>
              <w:jc w:val="center"/>
              <w:rPr/>
            </w:pPr>
            <w:r>
              <w:rPr/>
              <w:t>)</w:t>
            </w:r>
          </w:p>
        </w:tc>
        <w:tc>
          <w:tcPr>
            <w:tcW w:w="4739" w:type="dxa"/>
            <w:tcBorders/>
          </w:tcPr>
          <w:p>
            <w:pPr>
              <w:pStyle w:val="TableContents"/>
              <w:rPr/>
            </w:pPr>
            <w:r>
              <w:rPr/>
            </w:r>
          </w:p>
        </w:tc>
      </w:tr>
      <w:tr>
        <w:trPr/>
        <w:tc>
          <w:tcPr>
            <w:tcW w:w="4358" w:type="dxa"/>
            <w:tcBorders/>
          </w:tcPr>
          <w:p>
            <w:pPr>
              <w:pStyle w:val="TableContents"/>
              <w:jc w:val="center"/>
              <w:rPr/>
            </w:pPr>
            <w:r>
              <w:rPr/>
            </w:r>
          </w:p>
        </w:tc>
        <w:tc>
          <w:tcPr>
            <w:tcW w:w="263" w:type="dxa"/>
            <w:tcBorders/>
          </w:tcPr>
          <w:p>
            <w:pPr>
              <w:pStyle w:val="TableContents"/>
              <w:jc w:val="center"/>
              <w:rPr/>
            </w:pPr>
            <w:r>
              <w:rPr/>
              <w:t>)</w:t>
            </w:r>
          </w:p>
        </w:tc>
        <w:tc>
          <w:tcPr>
            <w:tcW w:w="4739" w:type="dxa"/>
            <w:tcBorders/>
          </w:tcPr>
          <w:p>
            <w:pPr>
              <w:pStyle w:val="TableContents"/>
              <w:rPr>
                <w:i/>
                <w:iCs/>
              </w:rPr>
            </w:pPr>
            <w:r>
              <w:rPr>
                <w:i/>
                <w:iCs/>
              </w:rPr>
            </w:r>
          </w:p>
        </w:tc>
      </w:tr>
      <w:tr>
        <w:trPr/>
        <w:tc>
          <w:tcPr>
            <w:tcW w:w="4358" w:type="dxa"/>
            <w:tcBorders/>
          </w:tcPr>
          <w:p>
            <w:pPr>
              <w:pStyle w:val="TableContents"/>
              <w:jc w:val="center"/>
              <w:rPr/>
            </w:pPr>
            <w:r>
              <w:rPr/>
            </w:r>
          </w:p>
        </w:tc>
        <w:tc>
          <w:tcPr>
            <w:tcW w:w="263" w:type="dxa"/>
            <w:tcBorders/>
          </w:tcPr>
          <w:p>
            <w:pPr>
              <w:pStyle w:val="TableContents"/>
              <w:jc w:val="center"/>
              <w:rPr/>
            </w:pPr>
            <w:r>
              <w:rPr/>
              <w:t>)</w:t>
            </w:r>
          </w:p>
        </w:tc>
        <w:tc>
          <w:tcPr>
            <w:tcW w:w="4739" w:type="dxa"/>
            <w:tcBorders>
              <w:top w:val="single" w:sz="4" w:space="0" w:color="000000"/>
            </w:tcBorders>
          </w:tcPr>
          <w:p>
            <w:pPr>
              <w:pStyle w:val="Normal"/>
              <w:spacing w:lineRule="auto" w:line="276"/>
              <w:jc w:val="center"/>
              <w:rPr/>
            </w:pPr>
            <w:r>
              <w:rPr/>
              <w:t>Corporation XX</w:t>
            </w:r>
          </w:p>
          <w:p>
            <w:pPr>
              <w:pStyle w:val="Normal"/>
              <w:spacing w:lineRule="auto" w:line="480"/>
              <w:jc w:val="center"/>
              <w:rPr/>
            </w:pPr>
            <w:r>
              <w:rPr/>
              <w:t>Name: XXX</w:t>
              <w:br/>
            </w:r>
            <w:r>
              <w:rPr>
                <w:i/>
                <w:iCs/>
              </w:rPr>
              <w:t>I have authority to bind the corporation</w:t>
            </w:r>
          </w:p>
        </w:tc>
      </w:tr>
      <w:tr>
        <w:trPr/>
        <w:tc>
          <w:tcPr>
            <w:tcW w:w="4358" w:type="dxa"/>
            <w:tcBorders/>
          </w:tcPr>
          <w:p>
            <w:pPr>
              <w:pStyle w:val="TableContents"/>
              <w:jc w:val="center"/>
              <w:rPr/>
            </w:pPr>
            <w:r>
              <w:rPr/>
            </w:r>
          </w:p>
        </w:tc>
        <w:tc>
          <w:tcPr>
            <w:tcW w:w="263" w:type="dxa"/>
            <w:tcBorders/>
          </w:tcPr>
          <w:p>
            <w:pPr>
              <w:pStyle w:val="TableContents"/>
              <w:jc w:val="center"/>
              <w:rPr/>
            </w:pPr>
            <w:r>
              <w:rPr/>
              <w:t>)</w:t>
            </w:r>
          </w:p>
        </w:tc>
        <w:tc>
          <w:tcPr>
            <w:tcW w:w="4739" w:type="dxa"/>
            <w:tcBorders/>
          </w:tcPr>
          <w:p>
            <w:pPr>
              <w:pStyle w:val="TableContents"/>
              <w:rPr/>
            </w:pPr>
            <w:r>
              <w:rPr/>
            </w:r>
          </w:p>
        </w:tc>
      </w:tr>
      <w:tr>
        <w:trPr/>
        <w:tc>
          <w:tcPr>
            <w:tcW w:w="4358" w:type="dxa"/>
            <w:tcBorders/>
          </w:tcPr>
          <w:p>
            <w:pPr>
              <w:pStyle w:val="TableContents"/>
              <w:jc w:val="center"/>
              <w:rPr/>
            </w:pPr>
            <w:r>
              <w:rPr/>
              <w:t>Date</w:t>
            </w:r>
          </w:p>
        </w:tc>
        <w:tc>
          <w:tcPr>
            <w:tcW w:w="263" w:type="dxa"/>
            <w:tcBorders/>
          </w:tcPr>
          <w:p>
            <w:pPr>
              <w:pStyle w:val="TableContents"/>
              <w:jc w:val="center"/>
              <w:rPr/>
            </w:pPr>
            <w:r>
              <w:rPr/>
              <w:t>)</w:t>
            </w:r>
          </w:p>
        </w:tc>
        <w:tc>
          <w:tcPr>
            <w:tcW w:w="4739" w:type="dxa"/>
            <w:tcBorders/>
          </w:tcPr>
          <w:p>
            <w:pPr>
              <w:pStyle w:val="TableContents"/>
              <w:rPr>
                <w:i/>
                <w:iCs/>
              </w:rPr>
            </w:pPr>
            <w:r>
              <w:rPr>
                <w:i/>
                <w:iCs/>
              </w:rPr>
            </w:r>
          </w:p>
        </w:tc>
      </w:tr>
      <w:tr>
        <w:trPr>
          <w:trHeight w:val="125" w:hRule="atLeast"/>
        </w:trPr>
        <w:tc>
          <w:tcPr>
            <w:tcW w:w="4358" w:type="dxa"/>
            <w:tcBorders/>
          </w:tcPr>
          <w:p>
            <w:pPr>
              <w:pStyle w:val="TableContents"/>
              <w:jc w:val="center"/>
              <w:rPr/>
            </w:pPr>
            <w:r>
              <w:rPr/>
            </w:r>
          </w:p>
        </w:tc>
        <w:tc>
          <w:tcPr>
            <w:tcW w:w="263" w:type="dxa"/>
            <w:tcBorders/>
          </w:tcPr>
          <w:p>
            <w:pPr>
              <w:pStyle w:val="TableContents"/>
              <w:rPr/>
            </w:pPr>
            <w:r>
              <w:rPr/>
              <w:t>)</w:t>
            </w:r>
          </w:p>
        </w:tc>
        <w:tc>
          <w:tcPr>
            <w:tcW w:w="4739" w:type="dxa"/>
            <w:tcBorders/>
          </w:tcPr>
          <w:p>
            <w:pPr>
              <w:pStyle w:val="TableContents"/>
              <w:rPr/>
            </w:pPr>
            <w:r>
              <w:rPr/>
            </w:r>
          </w:p>
        </w:tc>
      </w:tr>
      <w:tr>
        <w:trPr/>
        <w:tc>
          <w:tcPr>
            <w:tcW w:w="4358" w:type="dxa"/>
            <w:tcBorders/>
          </w:tcPr>
          <w:p>
            <w:pPr>
              <w:pStyle w:val="TableContents"/>
              <w:jc w:val="center"/>
              <w:rPr/>
            </w:pPr>
            <w:r>
              <w:rPr/>
            </w:r>
          </w:p>
        </w:tc>
        <w:tc>
          <w:tcPr>
            <w:tcW w:w="263" w:type="dxa"/>
            <w:tcBorders/>
          </w:tcPr>
          <w:p>
            <w:pPr>
              <w:pStyle w:val="TableContents"/>
              <w:jc w:val="center"/>
              <w:rPr/>
            </w:pPr>
            <w:r>
              <w:rPr/>
              <w:t>)</w:t>
            </w:r>
          </w:p>
        </w:tc>
        <w:tc>
          <w:tcPr>
            <w:tcW w:w="4739" w:type="dxa"/>
            <w:tcBorders>
              <w:top w:val="single" w:sz="4" w:space="0" w:color="000000"/>
            </w:tcBorders>
          </w:tcPr>
          <w:p>
            <w:pPr>
              <w:pStyle w:val="Normal"/>
              <w:jc w:val="center"/>
              <w:rPr/>
            </w:pPr>
            <w:r>
              <w:rPr/>
              <w:t>Corporation XX</w:t>
            </w:r>
          </w:p>
          <w:p>
            <w:pPr>
              <w:pStyle w:val="Normal"/>
              <w:jc w:val="center"/>
              <w:rPr/>
            </w:pPr>
            <w:r>
              <w:rPr/>
              <w:t>Name: XXX</w:t>
            </w:r>
          </w:p>
          <w:p>
            <w:pPr>
              <w:pStyle w:val="Normal"/>
              <w:jc w:val="center"/>
              <w:rPr/>
            </w:pPr>
            <w:r>
              <w:rPr/>
            </w:r>
          </w:p>
          <w:p>
            <w:pPr>
              <w:pStyle w:val="Normal"/>
              <w:jc w:val="center"/>
              <w:rPr>
                <w:i/>
                <w:iCs/>
              </w:rPr>
            </w:pPr>
            <w:r>
              <w:rPr>
                <w:i/>
                <w:iCs/>
              </w:rPr>
              <w:t>I have authority to bind the corporation</w:t>
            </w:r>
          </w:p>
        </w:tc>
      </w:tr>
      <w:tr>
        <w:trPr/>
        <w:tc>
          <w:tcPr>
            <w:tcW w:w="4358" w:type="dxa"/>
            <w:tcBorders/>
          </w:tcPr>
          <w:p>
            <w:pPr>
              <w:pStyle w:val="TableContents"/>
              <w:jc w:val="center"/>
              <w:rPr/>
            </w:pPr>
            <w:r>
              <w:rPr/>
            </w:r>
          </w:p>
        </w:tc>
        <w:tc>
          <w:tcPr>
            <w:tcW w:w="263" w:type="dxa"/>
            <w:tcBorders/>
          </w:tcPr>
          <w:p>
            <w:pPr>
              <w:pStyle w:val="TableContents"/>
              <w:jc w:val="center"/>
              <w:rPr/>
            </w:pPr>
            <w:r>
              <w:rPr/>
            </w:r>
          </w:p>
        </w:tc>
        <w:tc>
          <w:tcPr>
            <w:tcW w:w="4739" w:type="dxa"/>
            <w:vMerge w:val="restart"/>
            <w:tcBorders/>
          </w:tcPr>
          <w:p>
            <w:pPr>
              <w:pStyle w:val="TableContents"/>
              <w:jc w:val="center"/>
              <w:rPr/>
            </w:pPr>
            <w:r>
              <w:rPr/>
            </w:r>
          </w:p>
        </w:tc>
      </w:tr>
      <w:tr>
        <w:trPr/>
        <w:tc>
          <w:tcPr>
            <w:tcW w:w="4358" w:type="dxa"/>
            <w:tcBorders/>
          </w:tcPr>
          <w:p>
            <w:pPr>
              <w:pStyle w:val="TableContents"/>
              <w:jc w:val="center"/>
              <w:rPr/>
            </w:pPr>
            <w:r>
              <w:rPr/>
            </w:r>
          </w:p>
        </w:tc>
        <w:tc>
          <w:tcPr>
            <w:tcW w:w="263" w:type="dxa"/>
            <w:tcBorders/>
          </w:tcPr>
          <w:p>
            <w:pPr>
              <w:pStyle w:val="TableContents"/>
              <w:jc w:val="center"/>
              <w:rPr/>
            </w:pPr>
            <w:r>
              <w:rPr/>
            </w:r>
          </w:p>
        </w:tc>
        <w:tc>
          <w:tcPr>
            <w:tcW w:w="4739" w:type="dxa"/>
            <w:vMerge w:val="continue"/>
            <w:tcBorders/>
          </w:tcPr>
          <w:p>
            <w:pPr>
              <w:pStyle w:val="TableContents"/>
              <w:jc w:val="center"/>
              <w:rPr/>
            </w:pPr>
            <w:r>
              <w:rPr/>
            </w:r>
          </w:p>
        </w:tc>
      </w:tr>
      <w:tr>
        <w:trPr/>
        <w:tc>
          <w:tcPr>
            <w:tcW w:w="4358" w:type="dxa"/>
            <w:tcBorders/>
          </w:tcPr>
          <w:p>
            <w:pPr>
              <w:pStyle w:val="TableContents"/>
              <w:jc w:val="center"/>
              <w:rPr/>
            </w:pPr>
            <w:r>
              <w:rPr/>
            </w:r>
          </w:p>
        </w:tc>
        <w:tc>
          <w:tcPr>
            <w:tcW w:w="263" w:type="dxa"/>
            <w:tcBorders/>
          </w:tcPr>
          <w:p>
            <w:pPr>
              <w:pStyle w:val="TableContents"/>
              <w:jc w:val="center"/>
              <w:rPr/>
            </w:pPr>
            <w:r>
              <w:rPr/>
            </w:r>
          </w:p>
        </w:tc>
        <w:tc>
          <w:tcPr>
            <w:tcW w:w="4739" w:type="dxa"/>
            <w:vMerge w:val="continue"/>
            <w:tcBorders/>
          </w:tcPr>
          <w:p>
            <w:pPr>
              <w:pStyle w:val="TableContents"/>
              <w:jc w:val="center"/>
              <w:rPr/>
            </w:pPr>
            <w:r>
              <w:rPr/>
            </w:r>
          </w:p>
        </w:tc>
      </w:tr>
      <w:tr>
        <w:trPr/>
        <w:tc>
          <w:tcPr>
            <w:tcW w:w="4358" w:type="dxa"/>
            <w:tcBorders/>
          </w:tcPr>
          <w:p>
            <w:pPr>
              <w:pStyle w:val="TableContents"/>
              <w:jc w:val="center"/>
              <w:rPr/>
            </w:pPr>
            <w:r>
              <w:rPr/>
            </w:r>
          </w:p>
        </w:tc>
        <w:tc>
          <w:tcPr>
            <w:tcW w:w="263" w:type="dxa"/>
            <w:tcBorders/>
          </w:tcPr>
          <w:p>
            <w:pPr>
              <w:pStyle w:val="TableContents"/>
              <w:jc w:val="center"/>
              <w:rPr/>
            </w:pPr>
            <w:r>
              <w:rPr/>
            </w:r>
          </w:p>
        </w:tc>
        <w:tc>
          <w:tcPr>
            <w:tcW w:w="4739" w:type="dxa"/>
            <w:vMerge w:val="continue"/>
            <w:tcBorders/>
          </w:tcPr>
          <w:p>
            <w:pPr>
              <w:pStyle w:val="TableContents"/>
              <w:jc w:val="center"/>
              <w:rPr/>
            </w:pPr>
            <w:r>
              <w:rPr/>
            </w:r>
          </w:p>
        </w:tc>
      </w:tr>
      <w:tr>
        <w:trPr/>
        <w:tc>
          <w:tcPr>
            <w:tcW w:w="4358" w:type="dxa"/>
            <w:tcBorders/>
          </w:tcPr>
          <w:p>
            <w:pPr>
              <w:pStyle w:val="TableContents"/>
              <w:jc w:val="center"/>
              <w:rPr/>
            </w:pPr>
            <w:r>
              <w:rPr/>
            </w:r>
          </w:p>
        </w:tc>
        <w:tc>
          <w:tcPr>
            <w:tcW w:w="263" w:type="dxa"/>
            <w:tcBorders/>
          </w:tcPr>
          <w:p>
            <w:pPr>
              <w:pStyle w:val="TableContents"/>
              <w:jc w:val="center"/>
              <w:rPr/>
            </w:pPr>
            <w:r>
              <w:rPr/>
            </w:r>
          </w:p>
        </w:tc>
        <w:tc>
          <w:tcPr>
            <w:tcW w:w="4739" w:type="dxa"/>
            <w:vMerge w:val="continue"/>
            <w:tcBorders/>
          </w:tcPr>
          <w:p>
            <w:pPr>
              <w:pStyle w:val="TableContents"/>
              <w:jc w:val="center"/>
              <w:rPr/>
            </w:pPr>
            <w:r>
              <w:rPr/>
            </w:r>
          </w:p>
        </w:tc>
      </w:tr>
      <w:tr>
        <w:trPr/>
        <w:tc>
          <w:tcPr>
            <w:tcW w:w="4358" w:type="dxa"/>
            <w:tcBorders/>
          </w:tcPr>
          <w:p>
            <w:pPr>
              <w:pStyle w:val="TableContents"/>
              <w:jc w:val="center"/>
              <w:rPr/>
            </w:pPr>
            <w:r>
              <w:rPr/>
            </w:r>
          </w:p>
        </w:tc>
        <w:tc>
          <w:tcPr>
            <w:tcW w:w="263" w:type="dxa"/>
            <w:tcBorders/>
          </w:tcPr>
          <w:p>
            <w:pPr>
              <w:pStyle w:val="TableContents"/>
              <w:jc w:val="center"/>
              <w:rPr/>
            </w:pPr>
            <w:r>
              <w:rPr/>
            </w:r>
          </w:p>
        </w:tc>
        <w:tc>
          <w:tcPr>
            <w:tcW w:w="4739" w:type="dxa"/>
            <w:vMerge w:val="continue"/>
            <w:tcBorders/>
          </w:tcPr>
          <w:p>
            <w:pPr>
              <w:pStyle w:val="TableContents"/>
              <w:jc w:val="center"/>
              <w:rPr/>
            </w:pPr>
            <w:r>
              <w:rPr/>
            </w:r>
          </w:p>
        </w:tc>
      </w:tr>
      <w:tr>
        <w:trPr/>
        <w:tc>
          <w:tcPr>
            <w:tcW w:w="4358" w:type="dxa"/>
            <w:tcBorders/>
          </w:tcPr>
          <w:p>
            <w:pPr>
              <w:pStyle w:val="TableContents"/>
              <w:jc w:val="center"/>
              <w:rPr/>
            </w:pPr>
            <w:r>
              <w:rPr/>
            </w:r>
          </w:p>
        </w:tc>
        <w:tc>
          <w:tcPr>
            <w:tcW w:w="263" w:type="dxa"/>
            <w:tcBorders/>
          </w:tcPr>
          <w:p>
            <w:pPr>
              <w:pStyle w:val="TableContents"/>
              <w:jc w:val="center"/>
              <w:rPr/>
            </w:pPr>
            <w:r>
              <w:rPr/>
            </w:r>
          </w:p>
        </w:tc>
        <w:tc>
          <w:tcPr>
            <w:tcW w:w="4739" w:type="dxa"/>
            <w:tcBorders/>
          </w:tcPr>
          <w:p>
            <w:pPr>
              <w:pStyle w:val="TableContents"/>
              <w:jc w:val="center"/>
              <w:rPr>
                <w:shd w:fill="FFFF00" w:val="clear"/>
              </w:rPr>
            </w:pPr>
            <w:r>
              <w:rPr/>
            </w:r>
          </w:p>
        </w:tc>
      </w:tr>
    </w:tbl>
    <w:p>
      <w:pPr>
        <w:pStyle w:val="Normal"/>
        <w:rPr>
          <w:rFonts w:ascii="Times New Roman" w:hAnsi="Times New Roman"/>
        </w:rPr>
      </w:pPr>
      <w:r>
        <w:rPr>
          <w:rFonts w:ascii="Times New Roman" w:hAnsi="Times New Roman"/>
        </w:rPr>
      </w:r>
    </w:p>
    <w:sectPr>
      <w:footerReference w:type="even" r:id="rId2"/>
      <w:footerReference w:type="default" r:id="rId3"/>
      <w:footerReference w:type="first" r:id="rId4"/>
      <w:type w:val="nextPage"/>
      <w:pgSz w:w="12240" w:h="15840"/>
      <w:pgMar w:left="1134" w:right="1134" w:gutter="0" w:header="0" w:top="1134" w:footer="1134" w:bottom="2521"/>
      <w:pgNumType w:fmt="upperRoman"/>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Light">
    <w:charset w:val="01" w:characterSet="utf-8"/>
    <w:family w:val="swiss"/>
    <w:pitch w:val="variable"/>
  </w:font>
  <w:font w:name="OpenSymbol">
    <w:altName w:val="Arial Unicode MS"/>
    <w:charset w:val="01" w:characterSet="utf-8"/>
    <w:family w:val="roman"/>
    <w:pitch w:val="variable"/>
  </w:font>
  <w:font w:name="Calibri">
    <w:charset w:val="01" w:characterSet="utf-8"/>
    <w:family w:val="swiss"/>
    <w:pitch w:val="variable"/>
  </w:font>
  <w:font w:name="Times New Roman">
    <w:charset w:val="01" w:characterSet="utf-8"/>
    <w:family w:val="roman"/>
    <w:pitch w:val="variable"/>
  </w:font>
  <w:font w:name="Times New Roman">
    <w:altName w:val="serif"/>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XXXIV</w:t>
    </w:r>
    <w:r>
      <w:rPr/>
      <w:fldChar w:fldCharType="end"/>
    </w:r>
  </w:p>
  <w:p>
    <w:pPr>
      <w:pStyle w:val="Footer"/>
      <w:rPr/>
    </w:pPr>
    <w:r>
      <w:rPr/>
      <w:t>___</w:t>
      <w:tab/>
      <w:t>___</w:t>
      <w:tab/>
      <w:t>___</w:t>
      <w:tab/>
    </w:r>
  </w:p>
  <w:p>
    <w:pPr>
      <w:pStyle w:val="Footer"/>
      <w:rPr/>
    </w:pPr>
    <w:r>
      <w:rPr/>
      <w:tab/>
      <w:tab/>
      <w:t>___</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XXXIV</w:t>
    </w:r>
    <w:r>
      <w:rPr/>
      <w:fldChar w:fldCharType="end"/>
    </w:r>
  </w:p>
  <w:p>
    <w:pPr>
      <w:pStyle w:val="Footer"/>
      <w:rPr/>
    </w:pPr>
    <w:r>
      <w:rPr/>
      <w:t>___</w:t>
      <w:tab/>
      <w:t>___</w:t>
      <w:tab/>
      <w:t>___</w:t>
      <w:tab/>
    </w:r>
  </w:p>
  <w:p>
    <w:pPr>
      <w:pStyle w:val="Footer"/>
      <w:rPr/>
    </w:pPr>
    <w:r>
      <w:rPr/>
      <w:tab/>
      <w:tab/>
      <w:t>___</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3"/>
        </w:tabs>
        <w:ind w:start="363" w:hanging="363"/>
      </w:pPr>
      <w:rPr/>
    </w:lvl>
    <w:lvl w:ilvl="1">
      <w:start w:val="1"/>
      <w:numFmt w:val="lowerLetter"/>
      <w:lvlText w:val="%2."/>
      <w:lvlJc w:val="start"/>
      <w:pPr>
        <w:tabs>
          <w:tab w:val="num" w:pos="720"/>
        </w:tabs>
        <w:ind w:start="720" w:hanging="357"/>
      </w:pPr>
      <w:rPr/>
    </w:lvl>
    <w:lvl w:ilvl="2">
      <w:start w:val="1"/>
      <w:numFmt w:val="lowerRoman"/>
      <w:lvlText w:val="%3."/>
      <w:lvlJc w:val="start"/>
      <w:pPr>
        <w:tabs>
          <w:tab w:val="num" w:pos="1083"/>
        </w:tabs>
        <w:ind w:start="1083" w:hanging="363"/>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lowerLetter"/>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lowerLetter"/>
      <w:lvlText w:val="%1."/>
      <w:lvlJc w:val="start"/>
      <w:pPr>
        <w:tabs>
          <w:tab w:val="num" w:pos="720"/>
        </w:tabs>
        <w:ind w:start="720" w:hanging="360"/>
      </w:pPr>
      <w:rPr/>
    </w:lvl>
    <w:lvl w:ilvl="1">
      <w:start w:val="1"/>
      <w:numFmt w:val="upperLetter"/>
      <w:lvlText w:val="%2)"/>
      <w:lvlJc w:val="start"/>
      <w:pPr>
        <w:tabs>
          <w:tab w:val="num" w:pos="1080"/>
        </w:tabs>
        <w:ind w:start="1080" w:hanging="360"/>
      </w:pPr>
      <w:rPr/>
    </w:lvl>
    <w:lvl w:ilvl="2">
      <w:start w:val="1"/>
      <w:numFmt w:val="upperLetter"/>
      <w:lvlText w:val="%3)"/>
      <w:lvlJc w:val="start"/>
      <w:pPr>
        <w:tabs>
          <w:tab w:val="num" w:pos="1440"/>
        </w:tabs>
        <w:ind w:start="1440" w:hanging="360"/>
      </w:pPr>
      <w:rPr/>
    </w:lvl>
    <w:lvl w:ilvl="3">
      <w:start w:val="1"/>
      <w:numFmt w:val="upperLetter"/>
      <w:lvlText w:val="%4)"/>
      <w:lvlJc w:val="start"/>
      <w:pPr>
        <w:tabs>
          <w:tab w:val="num" w:pos="1800"/>
        </w:tabs>
        <w:ind w:start="1800" w:hanging="360"/>
      </w:pPr>
      <w:rPr/>
    </w:lvl>
    <w:lvl w:ilvl="4">
      <w:start w:val="1"/>
      <w:numFmt w:val="upperLetter"/>
      <w:lvlText w:val="%5)"/>
      <w:lvlJc w:val="start"/>
      <w:pPr>
        <w:tabs>
          <w:tab w:val="num" w:pos="2160"/>
        </w:tabs>
        <w:ind w:start="2160" w:hanging="360"/>
      </w:pPr>
      <w:rPr/>
    </w:lvl>
    <w:lvl w:ilvl="5">
      <w:start w:val="1"/>
      <w:numFmt w:val="upperLetter"/>
      <w:lvlText w:val="%6)"/>
      <w:lvlJc w:val="start"/>
      <w:pPr>
        <w:tabs>
          <w:tab w:val="num" w:pos="2520"/>
        </w:tabs>
        <w:ind w:start="2520" w:hanging="360"/>
      </w:pPr>
      <w:rPr/>
    </w:lvl>
    <w:lvl w:ilvl="6">
      <w:start w:val="1"/>
      <w:numFmt w:val="upperLetter"/>
      <w:lvlText w:val="%7)"/>
      <w:lvlJc w:val="start"/>
      <w:pPr>
        <w:tabs>
          <w:tab w:val="num" w:pos="2880"/>
        </w:tabs>
        <w:ind w:start="2880" w:hanging="360"/>
      </w:pPr>
      <w:rPr/>
    </w:lvl>
    <w:lvl w:ilvl="7">
      <w:start w:val="1"/>
      <w:numFmt w:val="upperLetter"/>
      <w:lvlText w:val="%8)"/>
      <w:lvlJc w:val="start"/>
      <w:pPr>
        <w:tabs>
          <w:tab w:val="num" w:pos="3240"/>
        </w:tabs>
        <w:ind w:start="3240" w:hanging="360"/>
      </w:pPr>
      <w:rPr/>
    </w:lvl>
    <w:lvl w:ilvl="8">
      <w:start w:val="1"/>
      <w:numFmt w:val="upperLetter"/>
      <w:lvlText w:val="%9)"/>
      <w:lvlJc w:val="start"/>
      <w:pPr>
        <w:tabs>
          <w:tab w:val="num" w:pos="3600"/>
        </w:tabs>
        <w:ind w:start="3600" w:hanging="36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CA"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Liberation Serif" w:hAnsi="Liberation Serif" w:eastAsia="Noto Serif CJK SC" w:cs="Lohit Devanagari"/>
      <w:color w:val="auto"/>
      <w:kern w:val="2"/>
      <w:sz w:val="24"/>
      <w:szCs w:val="24"/>
      <w:lang w:val="en-CA" w:eastAsia="zh-CN" w:bidi="hi-IN"/>
    </w:rPr>
  </w:style>
  <w:style w:type="paragraph" w:styleId="Heading1">
    <w:name w:val="heading 1"/>
    <w:basedOn w:val="Normal"/>
    <w:next w:val="Normal"/>
    <w:uiPriority w:val="9"/>
    <w:qFormat/>
    <w:pPr>
      <w:keepNext w:val="true"/>
      <w:keepLines/>
      <w:spacing w:before="360" w:after="80"/>
      <w:outlineLvl w:val="0"/>
    </w:pPr>
    <w:rPr>
      <w:rFonts w:ascii="Calibri Light" w:hAnsi="Calibri Light"/>
      <w:color w:themeColor="accent1" w:themeShade="bf" w:val="117A02"/>
      <w:sz w:val="40"/>
      <w:szCs w:val="40"/>
    </w:rPr>
  </w:style>
  <w:style w:type="paragraph" w:styleId="Heading2">
    <w:name w:val="heading 2"/>
    <w:basedOn w:val="Normal"/>
    <w:next w:val="Normal"/>
    <w:uiPriority w:val="9"/>
    <w:semiHidden/>
    <w:unhideWhenUsed/>
    <w:qFormat/>
    <w:pPr>
      <w:keepNext w:val="true"/>
      <w:keepLines/>
      <w:spacing w:before="160" w:after="80"/>
      <w:outlineLvl w:val="1"/>
    </w:pPr>
    <w:rPr>
      <w:rFonts w:ascii="Calibri Light" w:hAnsi="Calibri Light"/>
      <w:color w:themeColor="accent1" w:themeShade="bf" w:val="117A02"/>
      <w:sz w:val="32"/>
      <w:szCs w:val="32"/>
    </w:rPr>
  </w:style>
  <w:style w:type="paragraph" w:styleId="Heading3">
    <w:name w:val="heading 3"/>
    <w:basedOn w:val="Normal"/>
    <w:next w:val="Normal"/>
    <w:uiPriority w:val="9"/>
    <w:semiHidden/>
    <w:unhideWhenUsed/>
    <w:qFormat/>
    <w:pPr>
      <w:keepNext w:val="true"/>
      <w:keepLines/>
      <w:spacing w:before="160" w:after="80"/>
      <w:outlineLvl w:val="2"/>
    </w:pPr>
    <w:rPr>
      <w:color w:themeColor="accent1" w:themeShade="bf" w:val="117A02"/>
      <w:sz w:val="28"/>
      <w:szCs w:val="28"/>
    </w:rPr>
  </w:style>
  <w:style w:type="paragraph" w:styleId="Heading4">
    <w:name w:val="heading 4"/>
    <w:basedOn w:val="Normal"/>
    <w:next w:val="Normal"/>
    <w:uiPriority w:val="9"/>
    <w:semiHidden/>
    <w:unhideWhenUsed/>
    <w:qFormat/>
    <w:pPr>
      <w:keepNext w:val="true"/>
      <w:keepLines/>
      <w:spacing w:before="80" w:after="40"/>
      <w:outlineLvl w:val="3"/>
    </w:pPr>
    <w:rPr>
      <w:i/>
      <w:iCs/>
      <w:color w:themeColor="accent1" w:themeShade="bf" w:val="117A02"/>
    </w:rPr>
  </w:style>
  <w:style w:type="paragraph" w:styleId="Heading5">
    <w:name w:val="heading 5"/>
    <w:basedOn w:val="Normal"/>
    <w:next w:val="Normal"/>
    <w:uiPriority w:val="9"/>
    <w:semiHidden/>
    <w:unhideWhenUsed/>
    <w:qFormat/>
    <w:pPr>
      <w:keepNext w:val="true"/>
      <w:keepLines/>
      <w:spacing w:before="80" w:after="40"/>
      <w:outlineLvl w:val="4"/>
    </w:pPr>
    <w:rPr>
      <w:color w:themeColor="accent1" w:themeShade="bf" w:val="117A02"/>
    </w:rPr>
  </w:style>
  <w:style w:type="paragraph" w:styleId="Heading6">
    <w:name w:val="heading 6"/>
    <w:basedOn w:val="Normal"/>
    <w:next w:val="Normal"/>
    <w:uiPriority w:val="9"/>
    <w:semiHidden/>
    <w:unhideWhenUsed/>
    <w:qFormat/>
    <w:pPr>
      <w:keepNext w:val="true"/>
      <w:keepLines/>
      <w:spacing w:before="40" w:after="0"/>
      <w:outlineLvl w:val="5"/>
    </w:pPr>
    <w:rPr>
      <w:i/>
      <w:iCs/>
      <w:color w:themeColor="text1" w:themeTint="a6" w:val="595959"/>
    </w:rPr>
  </w:style>
  <w:style w:type="paragraph" w:styleId="Heading7">
    <w:name w:val="heading 7"/>
    <w:basedOn w:val="Normal"/>
    <w:next w:val="Normal"/>
    <w:qFormat/>
    <w:pPr>
      <w:keepNext w:val="true"/>
      <w:keepLines/>
      <w:spacing w:before="40" w:after="0"/>
      <w:outlineLvl w:val="6"/>
    </w:pPr>
    <w:rPr>
      <w:color w:themeColor="text1" w:themeTint="a6" w:val="595959"/>
    </w:rPr>
  </w:style>
  <w:style w:type="paragraph" w:styleId="Heading8">
    <w:name w:val="heading 8"/>
    <w:basedOn w:val="Normal"/>
    <w:next w:val="Normal"/>
    <w:qFormat/>
    <w:pPr>
      <w:keepNext w:val="true"/>
      <w:keepLines/>
      <w:outlineLvl w:val="7"/>
    </w:pPr>
    <w:rPr>
      <w:i/>
      <w:iCs/>
      <w:color w:themeColor="text1" w:themeTint="d8" w:val="272727"/>
    </w:rPr>
  </w:style>
  <w:style w:type="paragraph" w:styleId="Heading9">
    <w:name w:val="heading 9"/>
    <w:basedOn w:val="Normal"/>
    <w:next w:val="Normal"/>
    <w:qFormat/>
    <w:pPr>
      <w:keepNext w:val="true"/>
      <w:keepLines/>
      <w:outlineLvl w:val="8"/>
    </w:pPr>
    <w:rPr>
      <w:color w:themeColor="text1" w:themeTint="d8" w:val="272727"/>
    </w:rPr>
  </w:style>
  <w:style w:type="character" w:styleId="DefaultParagraphFont" w:default="1">
    <w:name w:val="Default Paragraph Font"/>
    <w:uiPriority w:val="1"/>
    <w:semiHidden/>
    <w:unhideWhenUsed/>
    <w:qFormat/>
    <w:rPr/>
  </w:style>
  <w:style w:type="character" w:styleId="NumberingSymbols" w:customStyle="1">
    <w:name w:val="Numbering Symbols"/>
    <w:qFormat/>
    <w:rPr/>
  </w:style>
  <w:style w:type="character" w:styleId="Bulletsuser" w:customStyle="1">
    <w:name w:val="Bullets (user)"/>
    <w:qFormat/>
    <w:rPr>
      <w:rFonts w:ascii="OpenSymbol" w:hAnsi="OpenSymbol" w:eastAsia="OpenSymbol" w:cs="OpenSymbol"/>
    </w:rPr>
  </w:style>
  <w:style w:type="character" w:styleId="FooterChar" w:customStyle="1">
    <w:name w:val="Footer Char"/>
    <w:basedOn w:val="DefaultParagraphFont"/>
    <w:qFormat/>
    <w:rPr>
      <w:rFonts w:cs="0"/>
    </w:rPr>
  </w:style>
  <w:style w:type="character" w:styleId="CommentSubjectChar" w:customStyle="1">
    <w:name w:val="Comment Subject Char"/>
    <w:basedOn w:val="CommentTextChar"/>
    <w:qFormat/>
    <w:rPr>
      <w:b/>
      <w:bCs/>
      <w:sz w:val="20"/>
      <w:szCs w:val="20"/>
    </w:rPr>
  </w:style>
  <w:style w:type="character" w:styleId="CommentTextChar" w:customStyle="1">
    <w:name w:val="Comment Text Char"/>
    <w:basedOn w:val="DefaultParagraphFont"/>
    <w:qFormat/>
    <w:rPr>
      <w:sz w:val="20"/>
      <w:szCs w:val="20"/>
    </w:rPr>
  </w:style>
  <w:style w:type="character" w:styleId="CommentReference">
    <w:name w:val="annotation reference"/>
    <w:basedOn w:val="DefaultParagraphFont"/>
    <w:qFormat/>
    <w:rPr>
      <w:sz w:val="16"/>
      <w:szCs w:val="16"/>
    </w:rPr>
  </w:style>
  <w:style w:type="character" w:styleId="IntenseReference">
    <w:name w:val="Intense Reference"/>
    <w:basedOn w:val="DefaultParagraphFont"/>
    <w:qFormat/>
    <w:rPr>
      <w:b/>
      <w:bCs/>
      <w:smallCaps/>
      <w:color w:themeColor="accent1" w:themeShade="bf" w:val="117A02"/>
      <w:spacing w:val="5"/>
    </w:rPr>
  </w:style>
  <w:style w:type="character" w:styleId="IntenseQuoteChar" w:customStyle="1">
    <w:name w:val="Intense Quote Char"/>
    <w:basedOn w:val="DefaultParagraphFont"/>
    <w:qFormat/>
    <w:rPr>
      <w:i/>
      <w:iCs/>
      <w:color w:themeColor="accent1" w:themeShade="bf" w:val="117A02"/>
    </w:rPr>
  </w:style>
  <w:style w:type="character" w:styleId="IntenseEmphasis">
    <w:name w:val="Intense Emphasis"/>
    <w:basedOn w:val="DefaultParagraphFont"/>
    <w:qFormat/>
    <w:rPr>
      <w:i/>
      <w:iCs/>
      <w:color w:themeColor="accent1" w:themeShade="bf" w:val="117A02"/>
    </w:rPr>
  </w:style>
  <w:style w:type="character" w:styleId="QuoteChar" w:customStyle="1">
    <w:name w:val="Quote Char"/>
    <w:basedOn w:val="DefaultParagraphFont"/>
    <w:qFormat/>
    <w:rPr>
      <w:i/>
      <w:iCs/>
      <w:color w:themeColor="text1" w:themeTint="bf" w:val="404040"/>
    </w:rPr>
  </w:style>
  <w:style w:type="character" w:styleId="SubtitleChar" w:customStyle="1">
    <w:name w:val="Subtitle Char"/>
    <w:basedOn w:val="DefaultParagraphFont"/>
    <w:qFormat/>
    <w:rPr>
      <w:rFonts w:eastAsia="Noto Serif CJK SC" w:cs="Lohit Devanagari"/>
      <w:color w:themeColor="text1" w:themeTint="a6" w:val="595959"/>
      <w:spacing w:val="15"/>
      <w:sz w:val="28"/>
      <w:szCs w:val="28"/>
    </w:rPr>
  </w:style>
  <w:style w:type="character" w:styleId="TitleChar" w:customStyle="1">
    <w:name w:val="Title Char"/>
    <w:basedOn w:val="DefaultParagraphFont"/>
    <w:qFormat/>
    <w:rPr>
      <w:rFonts w:ascii="Calibri Light" w:hAnsi="Calibri Light" w:eastAsia="Noto Serif CJK SC" w:cs="Lohit Devanagari"/>
      <w:spacing w:val="-10"/>
      <w:kern w:val="2"/>
      <w:sz w:val="56"/>
      <w:szCs w:val="56"/>
    </w:rPr>
  </w:style>
  <w:style w:type="character" w:styleId="Heading9Char" w:customStyle="1">
    <w:name w:val="Heading 9 Char"/>
    <w:basedOn w:val="DefaultParagraphFont"/>
    <w:qFormat/>
    <w:rPr>
      <w:rFonts w:eastAsia="Noto Serif CJK SC" w:cs="Lohit Devanagari"/>
      <w:color w:themeColor="text1" w:themeTint="d8" w:val="272727"/>
    </w:rPr>
  </w:style>
  <w:style w:type="character" w:styleId="Heading8Char" w:customStyle="1">
    <w:name w:val="Heading 8 Char"/>
    <w:basedOn w:val="DefaultParagraphFont"/>
    <w:qFormat/>
    <w:rPr>
      <w:rFonts w:eastAsia="Noto Serif CJK SC" w:cs="Lohit Devanagari"/>
      <w:i/>
      <w:iCs/>
      <w:color w:themeColor="text1" w:themeTint="d8" w:val="272727"/>
    </w:rPr>
  </w:style>
  <w:style w:type="character" w:styleId="Heading7Char" w:customStyle="1">
    <w:name w:val="Heading 7 Char"/>
    <w:basedOn w:val="DefaultParagraphFont"/>
    <w:qFormat/>
    <w:rPr>
      <w:rFonts w:eastAsia="Noto Serif CJK SC" w:cs="Lohit Devanagari"/>
      <w:color w:themeColor="text1" w:themeTint="a6" w:val="595959"/>
    </w:rPr>
  </w:style>
  <w:style w:type="character" w:styleId="Heading6Char" w:customStyle="1">
    <w:name w:val="Heading 6 Char"/>
    <w:basedOn w:val="DefaultParagraphFont"/>
    <w:qFormat/>
    <w:rPr>
      <w:rFonts w:eastAsia="Noto Serif CJK SC" w:cs="Lohit Devanagari"/>
      <w:i/>
      <w:iCs/>
      <w:color w:themeColor="text1" w:themeTint="a6" w:val="595959"/>
    </w:rPr>
  </w:style>
  <w:style w:type="character" w:styleId="Heading5Char" w:customStyle="1">
    <w:name w:val="Heading 5 Char"/>
    <w:basedOn w:val="DefaultParagraphFont"/>
    <w:qFormat/>
    <w:rPr>
      <w:rFonts w:eastAsia="Noto Serif CJK SC" w:cs="Lohit Devanagari"/>
      <w:color w:themeColor="accent1" w:themeShade="bf" w:val="117A02"/>
    </w:rPr>
  </w:style>
  <w:style w:type="character" w:styleId="Heading4Char" w:customStyle="1">
    <w:name w:val="Heading 4 Char"/>
    <w:basedOn w:val="DefaultParagraphFont"/>
    <w:qFormat/>
    <w:rPr>
      <w:rFonts w:eastAsia="Noto Serif CJK SC" w:cs="Lohit Devanagari"/>
      <w:i/>
      <w:iCs/>
      <w:color w:themeColor="accent1" w:themeShade="bf" w:val="117A02"/>
    </w:rPr>
  </w:style>
  <w:style w:type="character" w:styleId="Heading3Char" w:customStyle="1">
    <w:name w:val="Heading 3 Char"/>
    <w:basedOn w:val="DefaultParagraphFont"/>
    <w:qFormat/>
    <w:rPr>
      <w:rFonts w:eastAsia="Noto Serif CJK SC" w:cs="Lohit Devanagari"/>
      <w:color w:themeColor="accent1" w:themeShade="bf" w:val="117A02"/>
      <w:sz w:val="28"/>
      <w:szCs w:val="28"/>
    </w:rPr>
  </w:style>
  <w:style w:type="character" w:styleId="Heading2Char" w:customStyle="1">
    <w:name w:val="Heading 2 Char"/>
    <w:basedOn w:val="DefaultParagraphFont"/>
    <w:qFormat/>
    <w:rPr>
      <w:rFonts w:ascii="Calibri Light" w:hAnsi="Calibri Light" w:eastAsia="Noto Serif CJK SC" w:cs="Lohit Devanagari"/>
      <w:color w:themeColor="accent1" w:themeShade="bf" w:val="117A02"/>
      <w:sz w:val="32"/>
      <w:szCs w:val="32"/>
    </w:rPr>
  </w:style>
  <w:style w:type="character" w:styleId="Heading1Char" w:customStyle="1">
    <w:name w:val="Heading 1 Char"/>
    <w:basedOn w:val="DefaultParagraphFont"/>
    <w:qFormat/>
    <w:rPr>
      <w:rFonts w:ascii="Calibri Light" w:hAnsi="Calibri Light" w:eastAsia="Noto Serif CJK SC" w:cs="Lohit Devanagari"/>
      <w:color w:themeColor="accent1" w:themeShade="bf" w:val="117A02"/>
      <w:sz w:val="40"/>
      <w:szCs w:val="40"/>
    </w:rPr>
  </w:style>
  <w:style w:type="character" w:styleId="FootnoteCharacters" w:customStyle="1">
    <w:name w:val="Footnote Characters"/>
    <w:qFormat/>
    <w:rPr/>
  </w:style>
  <w:style w:type="character" w:styleId="EndnoteCharacters" w:customStyle="1">
    <w:name w:val="Endnote Characters"/>
    <w:qFormat/>
    <w:rPr/>
  </w:style>
  <w:style w:type="character" w:styleId="Hyperlink">
    <w:name w:val="Hyperlink"/>
    <w:rPr>
      <w:color w:val="000080"/>
      <w:u w:val="single"/>
    </w:rPr>
  </w:style>
  <w:style w:type="character" w:styleId="FollowedHyperlink">
    <w:name w:val="FollowedHyperlink"/>
    <w:rPr>
      <w:color w:val="800000"/>
      <w:u w:val="single"/>
    </w:rPr>
  </w:style>
  <w:style w:type="character" w:styleId="LineNumber">
    <w:name w:val="line number"/>
    <w:rPr/>
  </w:style>
  <w:style w:type="paragraph" w:styleId="Heading" w:customStyle="1">
    <w:name w:val="Heading"/>
    <w:basedOn w:val="Normal"/>
    <w:next w:val="BodyText"/>
    <w:qFormat/>
    <w:pPr>
      <w:keepNext w:val="true"/>
      <w:spacing w:before="240" w:after="120"/>
    </w:pPr>
    <w:rPr>
      <w:rFonts w:eastAsia="Noto Sans CJK SC"/>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paragraph" w:styleId="HeaderandFooter" w:customStyle="1">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rPr/>
  </w:style>
  <w:style w:type="paragraph" w:styleId="ListParagraph">
    <w:name w:val="List Paragraph"/>
    <w:basedOn w:val="Normal"/>
    <w:qFormat/>
    <w:pPr>
      <w:spacing w:lineRule="auto" w:line="278" w:before="0" w:after="160"/>
      <w:ind w:start="720"/>
      <w:contextualSpacing/>
    </w:pPr>
    <w:rPr>
      <w:rFonts w:ascii="Calibri" w:hAnsi="Calibri" w:cs="Calibri"/>
      <w:lang w:eastAsia="en-US" w:bidi="ar-SA"/>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paragraph" w:styleId="annotationsubject">
    <w:name w:val="annotation subject"/>
    <w:basedOn w:val="CommentText"/>
    <w:next w:val="CommentText"/>
    <w:qFormat/>
    <w:pPr/>
    <w:rPr>
      <w:b/>
      <w:bCs/>
    </w:rPr>
  </w:style>
  <w:style w:type="paragraph" w:styleId="CommentText">
    <w:name w:val="annotation text"/>
    <w:basedOn w:val="Normal"/>
    <w:pPr/>
    <w:rPr>
      <w:sz w:val="20"/>
      <w:szCs w:val="20"/>
    </w:rPr>
  </w:style>
  <w:style w:type="paragraph" w:styleId="IntenseQuote">
    <w:name w:val="Intense Quote"/>
    <w:basedOn w:val="Normal"/>
    <w:next w:val="Normal"/>
    <w:qFormat/>
    <w:pPr>
      <w:pBdr>
        <w:top w:val="single" w:sz="4" w:space="10" w:color="2F5496"/>
        <w:bottom w:val="single" w:sz="4" w:space="10" w:color="2F5496"/>
      </w:pBdr>
      <w:spacing w:before="360" w:after="360"/>
      <w:ind w:start="864" w:end="864"/>
      <w:jc w:val="center"/>
    </w:pPr>
    <w:rPr>
      <w:i/>
      <w:iCs/>
      <w:color w:themeColor="accent1" w:themeShade="bf" w:val="117A02"/>
    </w:rPr>
  </w:style>
  <w:style w:type="paragraph" w:styleId="Quote">
    <w:name w:val="Quote"/>
    <w:basedOn w:val="Normal"/>
    <w:next w:val="Normal"/>
    <w:qFormat/>
    <w:pPr>
      <w:spacing w:before="160" w:after="160"/>
      <w:jc w:val="center"/>
    </w:pPr>
    <w:rPr>
      <w:i/>
      <w:iCs/>
      <w:color w:themeColor="text1" w:themeTint="bf" w:val="404040"/>
    </w:rPr>
  </w:style>
  <w:style w:type="paragraph" w:styleId="Subtitle">
    <w:name w:val="Subtitle"/>
    <w:basedOn w:val="Normal"/>
    <w:next w:val="Normal"/>
    <w:uiPriority w:val="11"/>
    <w:qFormat/>
    <w:pPr/>
    <w:rPr>
      <w:color w:themeColor="text1" w:themeTint="a6" w:val="595959"/>
      <w:spacing w:val="15"/>
      <w:sz w:val="28"/>
      <w:szCs w:val="28"/>
    </w:rPr>
  </w:style>
  <w:style w:type="paragraph" w:styleId="Title">
    <w:name w:val="Title"/>
    <w:basedOn w:val="Normal"/>
    <w:next w:val="Normal"/>
    <w:uiPriority w:val="10"/>
    <w:qFormat/>
    <w:pPr>
      <w:spacing w:before="0" w:after="80"/>
      <w:contextualSpacing/>
    </w:pPr>
    <w:rPr>
      <w:rFonts w:ascii="Calibri Light" w:hAnsi="Calibri Light"/>
      <w:spacing w:val="-10"/>
      <w:sz w:val="56"/>
      <w:szCs w:val="56"/>
    </w:rPr>
  </w:style>
  <w:style w:type="paragraph" w:styleId="ListContents" w:customStyle="1">
    <w:name w:val="List Contents"/>
    <w:basedOn w:val="Normal"/>
    <w:qFormat/>
    <w:pPr>
      <w:ind w:start="567"/>
    </w:pPr>
    <w:rPr/>
  </w:style>
  <w:style w:type="paragraph" w:styleId="ListNumber">
    <w:name w:val="List Number"/>
    <w:basedOn w:val="Normal"/>
    <w:uiPriority w:val="99"/>
    <w:unhideWhenUsed/>
    <w:rsid w:val="006b1ef3"/>
    <w:pPr>
      <w:numPr>
        <w:ilvl w:val="0"/>
        <w:numId w:val="3"/>
      </w:numPr>
      <w:suppressAutoHyphens w:val="false"/>
      <w:spacing w:lineRule="auto" w:line="360" w:before="0" w:after="200"/>
      <w:ind w:hanging="0" w:start="0"/>
      <w:contextualSpacing/>
    </w:pPr>
    <w:rPr>
      <w:rFonts w:ascii="Times New Roman" w:hAnsi="Times New Roman" w:eastAsia="DejaVu Sans" w:cs="DejaVu Sans" w:cstheme="minorBidi" w:eastAsiaTheme="minorEastAsia"/>
      <w:kern w:val="0"/>
      <w:szCs w:val="22"/>
      <w:lang w:val="en-US" w:eastAsia="en-US" w:bidi="ar-SA"/>
    </w:rPr>
  </w:style>
  <w:style w:type="paragraph" w:styleId="Revision">
    <w:name w:val="Revision"/>
    <w:uiPriority w:val="99"/>
    <w:semiHidden/>
    <w:qFormat/>
    <w:rsid w:val="003833ba"/>
    <w:pPr>
      <w:widowControl/>
      <w:suppressAutoHyphens w:val="false"/>
      <w:bidi w:val="0"/>
      <w:spacing w:before="0" w:after="0"/>
      <w:jc w:val="start"/>
    </w:pPr>
    <w:rPr>
      <w:rFonts w:ascii="Liberation Serif" w:hAnsi="Liberation Serif" w:eastAsia="Noto Serif CJK SC" w:cs="Mangal"/>
      <w:color w:val="auto"/>
      <w:kern w:val="2"/>
      <w:sz w:val="24"/>
      <w:szCs w:val="21"/>
      <w:lang w:val="en-CA" w:eastAsia="zh-CN" w:bidi="hi-IN"/>
    </w:rPr>
  </w:style>
  <w:style w:type="paragraph" w:styleId="Comment" w:customStyle="1">
    <w:name w:val="Comment"/>
    <w:basedOn w:val="Normal"/>
    <w:qFormat/>
    <w:pPr>
      <w:spacing w:before="56" w:after="0"/>
      <w:ind w:start="57" w:end="57"/>
    </w:pPr>
    <w:rPr>
      <w:sz w:val="20"/>
      <w:szCs w:val="20"/>
    </w:rPr>
  </w:style>
  <w:style w:type="paragraph" w:styleId="western" w:customStyle="1">
    <w:name w:val="western"/>
    <w:basedOn w:val="Normal"/>
    <w:qFormat/>
    <w:rsid w:val="002e4c80"/>
    <w:pPr>
      <w:suppressAutoHyphens w:val="false"/>
      <w:spacing w:beforeAutospacing="1" w:afterAutospacing="1"/>
    </w:pPr>
    <w:rPr>
      <w:rFonts w:ascii="Times New Roman" w:hAnsi="Times New Roman" w:eastAsia="Times New Roman" w:cs="Times New Roman"/>
      <w:color w:val="000000"/>
      <w:kern w:val="0"/>
      <w:lang w:val="en-NZ" w:eastAsia="en-GB"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TotalTime>
  <Application>LibreOffice/26.2.2.2$Linux_X86_64 LibreOffice_project/620$Build-2</Application>
  <AppVersion>15.0000</AppVersion>
  <Pages>34</Pages>
  <Words>7821</Words>
  <Characters>41135</Characters>
  <CharactersWithSpaces>48540</CharactersWithSpaces>
  <Paragraphs>362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2026-06-19T18:24:00Z</dcterms:created>
  <dc:creator>Adam Strömbergsson-DeNora</dc:creator>
  <dc:description/>
  <dc:language>en-CA</dc:language>
  <cp:lastModifiedBy>Adam Strömbergsson-DeNora</cp:lastModifiedBy>
  <dcterms:modified xsi:type="dcterms:W3CDTF">2026-06-25T12:21:07Z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