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headingx-e"/>
        <w:tabs>
          <w:tab w:val="clear" w:pos="0"/>
        </w:tabs>
        <w:spacing w:lineRule="auto" w:line="276" w:before="0" w:after="0"/>
        <w:jc w:val="right"/>
        <w:rPr>
          <w:iCs/>
          <w:smallCaps/>
        </w:rPr>
      </w:pPr>
      <w:r>
        <w:rPr>
          <w:iCs/>
          <w:smallCaps/>
        </w:rPr>
      </w:r>
    </w:p>
    <w:p>
      <w:pPr>
        <w:pStyle w:val="zheadingx-e"/>
        <w:tabs>
          <w:tab w:val="clear" w:pos="0"/>
        </w:tabs>
        <w:spacing w:lineRule="auto" w:line="276" w:before="0" w:after="0"/>
        <w:rPr/>
      </w:pPr>
      <w:r>
        <w:rPr>
          <w:rFonts w:ascii="Times New Roman" w:hAnsi="Times New Roman"/>
          <w:iCs/>
          <w:smallCaps/>
          <w:sz w:val="24"/>
          <w:szCs w:val="24"/>
        </w:rPr>
        <w:t xml:space="preserve">COURT OF APPEAL FOR </w:t>
      </w:r>
      <w:r>
        <w:rPr>
          <w:rFonts w:ascii="Times New Roman" w:hAnsi="Times New Roman"/>
          <w:iCs/>
          <w:smallCaps/>
          <w:sz w:val="24"/>
          <w:szCs w:val="24"/>
        </w:rPr>
        <w:t>ONTARIO</w:t>
      </w:r>
      <w:r>
        <w:rPr>
          <w:rFonts w:ascii="Times New Roman" w:hAnsi="Times New Roman"/>
          <w:i/>
          <w:smallCaps/>
          <w:sz w:val="24"/>
          <w:szCs w:val="24"/>
        </w:rPr>
        <w:br/>
      </w:r>
    </w:p>
    <w:p>
      <w:pPr>
        <w:pStyle w:val="zbetween-e"/>
        <w:spacing w:lineRule="auto" w:line="276" w:before="0" w:after="0"/>
        <w:rPr/>
      </w:pPr>
      <w:r>
        <w:rPr>
          <w:rFonts w:ascii="Times New Roman" w:hAnsi="Times New Roman"/>
          <w:sz w:val="24"/>
          <w:szCs w:val="24"/>
          <w:lang w:val="en-CA"/>
        </w:rPr>
        <w:t>b e t w e e n: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fl-r-ul-e"/>
        <w:spacing w:lineRule="auto" w:line="276" w:before="0" w:after="0"/>
        <w:rPr/>
      </w:pPr>
      <w:r>
        <w:rPr>
          <w:rFonts w:ascii="Times New Roman" w:hAnsi="Times New Roman"/>
          <w:sz w:val="24"/>
          <w:szCs w:val="24"/>
        </w:rPr>
        <w:t>applicant</w:t>
      </w:r>
    </w:p>
    <w:p>
      <w:pPr>
        <w:pStyle w:val="zand-e"/>
        <w:spacing w:lineRule="auto" w:line="276" w:before="0" w:after="0"/>
        <w:rPr/>
      </w:pPr>
      <w:r>
        <w:rPr>
          <w:rFonts w:ascii="Times New Roman" w:hAnsi="Times New Roman"/>
          <w:sz w:val="24"/>
          <w:szCs w:val="24"/>
        </w:rPr>
        <w:t>and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fl-r-ul-e"/>
        <w:spacing w:lineRule="auto" w:line="276" w:before="0" w:after="0"/>
        <w:rPr/>
      </w:pPr>
      <w:r>
        <w:rPr>
          <w:rFonts w:ascii="Times New Roman" w:hAnsi="Times New Roman"/>
          <w:sz w:val="24"/>
          <w:szCs w:val="24"/>
        </w:rPr>
        <w:t>respondent</w:t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headingx-e"/>
        <w:tabs>
          <w:tab w:val="clear" w:pos="0"/>
        </w:tabs>
        <w:spacing w:lineRule="auto" w:line="276" w:before="0" w:after="0"/>
        <w:rPr/>
      </w:pPr>
      <w:r>
        <w:rPr>
          <w:rFonts w:ascii="Times New Roman" w:hAnsi="Times New Roman"/>
          <w:b/>
          <w:bCs/>
          <w:sz w:val="24"/>
          <w:szCs w:val="24"/>
        </w:rPr>
        <w:t>notice of motion</w:t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i/>
          <w:i/>
          <w:iCs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i/>
          <w:iCs/>
          <w:caps w:val="false"/>
          <w:smallCaps w:val="false"/>
          <w:sz w:val="24"/>
          <w:szCs w:val="24"/>
        </w:rPr>
        <w:t>Leave to appeal</w:t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wtab-e"/>
        <w:spacing w:lineRule="auto" w:line="276" w:before="0" w:after="0"/>
        <w:rPr/>
      </w:pPr>
      <w:r>
        <w:rPr>
          <w:rFonts w:ascii="Times New Roman" w:hAnsi="Times New Roman"/>
          <w:sz w:val="24"/>
          <w:szCs w:val="24"/>
        </w:rPr>
        <w:tab/>
        <w:t xml:space="preserve">The </w:t>
      </w:r>
      <w:r>
        <w:rPr>
          <w:rFonts w:ascii="Times New Roman" w:hAnsi="Times New Roman"/>
          <w:sz w:val="24"/>
          <w:szCs w:val="24"/>
        </w:rPr>
        <w:t xml:space="preserve">applicant will make a motion to the Court of Appeal on a date to be fixed by the Registrar, at </w:t>
      </w:r>
    </w:p>
    <w:p>
      <w:pPr>
        <w:pStyle w:val="zparawtab-e"/>
        <w:spacing w:lineRule="auto" w:line="276" w:before="0" w:after="0"/>
        <w:jc w:val="center"/>
        <w:rPr/>
      </w:pPr>
      <w:r>
        <w:rPr>
          <w:rFonts w:ascii="Times New Roman" w:hAnsi="Times New Roman"/>
          <w:sz w:val="24"/>
          <w:szCs w:val="24"/>
        </w:rPr>
        <w:t>130 Queen Street West</w:t>
      </w:r>
    </w:p>
    <w:p>
      <w:pPr>
        <w:pStyle w:val="zparawtab-e"/>
        <w:spacing w:lineRule="auto" w:line="276" w:before="0" w:after="0"/>
        <w:jc w:val="center"/>
        <w:rPr/>
      </w:pPr>
      <w:r>
        <w:rPr>
          <w:rFonts w:ascii="Times New Roman" w:hAnsi="Times New Roman"/>
          <w:sz w:val="24"/>
          <w:szCs w:val="24"/>
        </w:rPr>
        <w:t>Toronto, ON</w:t>
      </w:r>
    </w:p>
    <w:p>
      <w:pPr>
        <w:pStyle w:val="zparawtab-e"/>
        <w:spacing w:lineRule="auto" w:line="276" w:before="0" w:after="0"/>
        <w:jc w:val="center"/>
        <w:rPr/>
      </w:pPr>
      <w:r>
        <w:rPr>
          <w:rFonts w:ascii="Times New Roman" w:hAnsi="Times New Roman"/>
          <w:sz w:val="24"/>
          <w:szCs w:val="24"/>
        </w:rPr>
        <w:t>M5H 2N5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zparawtab-e"/>
        <w:spacing w:lineRule="auto" w:line="276" w:before="0"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zparawtab-e"/>
        <w:spacing w:lineRule="auto" w:line="276" w:before="0" w:after="0"/>
        <w:jc w:val="left"/>
        <w:rPr/>
      </w:pPr>
      <w:r>
        <w:rPr>
          <w:rFonts w:ascii="Times New Roman" w:hAnsi="Times New Roman"/>
          <w:sz w:val="24"/>
          <w:szCs w:val="24"/>
        </w:rPr>
        <w:t xml:space="preserve">PROPOSED METHOD OF HEARING: The motion is to be heard </w:t>
      </w:r>
      <w:r>
        <w:rPr>
          <w:rFonts w:ascii="Times New Roman" w:hAnsi="Times New Roman"/>
          <w:sz w:val="24"/>
          <w:szCs w:val="24"/>
        </w:rPr>
        <w:t>in writing pursuant to rule 61.03.1, unless otherwise ordered by this honourable Court.</w:t>
      </w:r>
    </w:p>
    <w:p>
      <w:pPr>
        <w:pStyle w:val="zparawtab-e"/>
        <w:spacing w:lineRule="auto" w:line="276" w:before="0" w:after="0"/>
        <w:jc w:val="lef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zparawtab-e"/>
        <w:spacing w:lineRule="auto" w:line="276" w:before="0" w:after="0"/>
        <w:jc w:val="left"/>
        <w:rPr/>
      </w:pPr>
      <w:r>
        <w:rPr>
          <w:rFonts w:ascii="Times New Roman" w:hAnsi="Times New Roman"/>
          <w:sz w:val="24"/>
          <w:szCs w:val="24"/>
        </w:rPr>
        <w:t xml:space="preserve">THE MOTION IS FOR </w:t>
      </w:r>
      <w:r>
        <w:rPr>
          <w:rFonts w:ascii="Times New Roman" w:hAnsi="Times New Roman"/>
          <w:sz w:val="24"/>
          <w:szCs w:val="24"/>
        </w:rPr>
        <w:t xml:space="preserve">an order </w:t>
      </w:r>
      <w:r>
        <w:rPr>
          <w:rFonts w:ascii="Times New Roman" w:hAnsi="Times New Roman"/>
          <w:sz w:val="24"/>
          <w:szCs w:val="24"/>
        </w:rPr>
        <w:t>substantially in the form set out in schedule A to this notice</w:t>
      </w:r>
      <w:r>
        <w:rPr>
          <w:rFonts w:ascii="Times New Roman" w:hAnsi="Times New Roman"/>
          <w:sz w:val="24"/>
          <w:szCs w:val="24"/>
        </w:rPr>
        <w:t xml:space="preserve"> that grants leave to the applicant to appeal to the Court of Appeal from the order of the Divisional Court pronounced on [</w:t>
      </w:r>
      <w:r>
        <w:rPr>
          <w:rFonts w:ascii="Times New Roman" w:hAnsi="Times New Roman"/>
          <w:sz w:val="24"/>
          <w:szCs w:val="24"/>
          <w:shd w:fill="FFFF00" w:val="clear"/>
        </w:rPr>
        <w:t>date</w:t>
      </w:r>
      <w:r>
        <w:rPr>
          <w:rFonts w:ascii="Times New Roman" w:hAnsi="Times New Roman"/>
          <w:sz w:val="24"/>
          <w:szCs w:val="24"/>
        </w:rPr>
        <w:t>] and made at [</w:t>
      </w:r>
      <w:r>
        <w:rPr>
          <w:rFonts w:ascii="Times New Roman" w:hAnsi="Times New Roman"/>
          <w:sz w:val="24"/>
          <w:szCs w:val="24"/>
          <w:shd w:fill="FFFF00" w:val="clear"/>
        </w:rPr>
        <w:t>place</w:t>
      </w:r>
      <w:r>
        <w:rPr>
          <w:rFonts w:ascii="Times New Roman" w:hAnsi="Times New Roman"/>
          <w:sz w:val="24"/>
          <w:szCs w:val="24"/>
        </w:rPr>
        <w:t>].</w:t>
      </w:r>
    </w:p>
    <w:p>
      <w:pPr>
        <w:pStyle w:val="zparawtab-e"/>
        <w:spacing w:lineRule="auto" w:line="276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wtab-e"/>
        <w:spacing w:lineRule="auto" w:line="276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GROUNDS FOR THE MOTION ARE </w:t>
      </w:r>
    </w:p>
    <w:p>
      <w:pPr>
        <w:pStyle w:val="zparawtab-e"/>
        <w:spacing w:lineRule="auto" w:line="276" w:before="0" w:after="0"/>
        <w:jc w:val="left"/>
        <w:rPr>
          <w:i/>
          <w:i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wtab-e"/>
        <w:numPr>
          <w:ilvl w:val="0"/>
          <w:numId w:val="1"/>
        </w:numPr>
        <w:spacing w:lineRule="auto" w:line="276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Divisional Court erred in law when it decided that ;</w:t>
      </w:r>
    </w:p>
    <w:p>
      <w:pPr>
        <w:pStyle w:val="zparawtab-e"/>
        <w:numPr>
          <w:ilvl w:val="0"/>
          <w:numId w:val="1"/>
        </w:numPr>
        <w:spacing w:lineRule="auto" w:line="276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circumstances </w:t>
      </w:r>
      <w:r>
        <w:rPr>
          <w:rFonts w:ascii="Times New Roman" w:hAnsi="Times New Roman"/>
          <w:sz w:val="24"/>
          <w:szCs w:val="24"/>
        </w:rPr>
        <w:t>that give rise to</w:t>
      </w:r>
      <w:r>
        <w:rPr>
          <w:rFonts w:ascii="Times New Roman" w:hAnsi="Times New Roman"/>
          <w:sz w:val="24"/>
          <w:szCs w:val="24"/>
        </w:rPr>
        <w:t xml:space="preserve"> this appeal </w:t>
      </w:r>
      <w:r>
        <w:rPr>
          <w:rFonts w:ascii="Times New Roman" w:hAnsi="Times New Roman"/>
          <w:sz w:val="24"/>
          <w:szCs w:val="24"/>
        </w:rPr>
        <w:t>include</w:t>
      </w:r>
      <w:r>
        <w:rPr>
          <w:rFonts w:ascii="Times New Roman" w:hAnsi="Times New Roman"/>
          <w:sz w:val="24"/>
          <w:szCs w:val="24"/>
        </w:rPr>
        <w:t xml:space="preserve"> matters of public importance, and they concern the interpretation and application of ;</w:t>
      </w:r>
    </w:p>
    <w:p>
      <w:pPr>
        <w:pStyle w:val="zparawtab-e"/>
        <w:numPr>
          <w:ilvl w:val="0"/>
          <w:numId w:val="1"/>
        </w:numPr>
        <w:spacing w:lineRule="auto" w:line="276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circumstances that give rise to this appeal include a departure from established legal principles such that, in the interest of justice, leave should be granted; </w:t>
      </w:r>
    </w:p>
    <w:p>
      <w:pPr>
        <w:pStyle w:val="zparawtab-e"/>
        <w:spacing w:lineRule="auto" w:line="276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wtab-e"/>
        <w:spacing w:lineRule="auto" w:line="276" w:before="0" w:after="0"/>
        <w:jc w:val="left"/>
        <w:rPr>
          <w:rFonts w:ascii="Times New Roman" w:hAnsi="Times New Roman"/>
          <w:b w:val="false"/>
          <w:bCs w:val="false"/>
          <w:i/>
          <w:i/>
          <w:iCs/>
          <w:sz w:val="24"/>
          <w:szCs w:val="24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Law</w:t>
      </w:r>
    </w:p>
    <w:p>
      <w:pPr>
        <w:pStyle w:val="zparawtab-e"/>
        <w:spacing w:lineRule="auto" w:line="276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wtab-e"/>
        <w:numPr>
          <w:ilvl w:val="0"/>
          <w:numId w:val="1"/>
        </w:numPr>
        <w:spacing w:lineRule="auto" w:line="276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paragraph 6(1)(a) of the </w:t>
      </w:r>
      <w:r>
        <w:rPr>
          <w:rFonts w:ascii="Times New Roman" w:hAnsi="Times New Roman"/>
          <w:i/>
          <w:iCs/>
          <w:sz w:val="24"/>
          <w:szCs w:val="24"/>
        </w:rPr>
        <w:t>Courts of Justice Act</w:t>
      </w:r>
      <w:r>
        <w:rPr>
          <w:rFonts w:ascii="Times New Roman" w:hAnsi="Times New Roman"/>
          <w:i w:val="false"/>
          <w:iCs w:val="false"/>
          <w:sz w:val="24"/>
          <w:szCs w:val="24"/>
        </w:rPr>
        <w:t>, RSO 1990, c C-43;</w:t>
      </w:r>
    </w:p>
    <w:p>
      <w:pPr>
        <w:pStyle w:val="zparawtab-e"/>
        <w:numPr>
          <w:ilvl w:val="0"/>
          <w:numId w:val="1"/>
        </w:numPr>
        <w:spacing w:lineRule="auto" w:line="276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rule 61 of the </w:t>
      </w:r>
      <w:r>
        <w:rPr>
          <w:rFonts w:ascii="Times New Roman" w:hAnsi="Times New Roman"/>
          <w:i/>
          <w:iCs/>
          <w:sz w:val="24"/>
          <w:szCs w:val="24"/>
        </w:rPr>
        <w:t>Rules of Civil Procedure</w:t>
      </w:r>
      <w:r>
        <w:rPr>
          <w:rFonts w:ascii="Times New Roman" w:hAnsi="Times New Roman"/>
          <w:i w:val="false"/>
          <w:iCs w:val="false"/>
          <w:sz w:val="24"/>
          <w:szCs w:val="24"/>
        </w:rPr>
        <w:t>, RRO 1990, reg. 194; and</w:t>
      </w:r>
    </w:p>
    <w:p>
      <w:pPr>
        <w:pStyle w:val="zparawtab-e"/>
        <w:spacing w:lineRule="auto" w:line="276" w:before="0" w:after="0"/>
        <w:jc w:val="left"/>
        <w:rPr>
          <w:i w:val="false"/>
          <w:i w:val="false"/>
          <w:iCs w:val="fals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wtab-e"/>
        <w:spacing w:lineRule="auto" w:line="276" w:before="0" w:after="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Other grounds</w:t>
      </w:r>
    </w:p>
    <w:p>
      <w:pPr>
        <w:pStyle w:val="zparawtab-e"/>
        <w:spacing w:lineRule="auto" w:line="276" w:before="0" w:after="0"/>
        <w:jc w:val="left"/>
        <w:rPr>
          <w:i w:val="false"/>
          <w:i w:val="false"/>
          <w:iCs w:val="fals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wtab-e"/>
        <w:numPr>
          <w:ilvl w:val="0"/>
          <w:numId w:val="1"/>
        </w:numPr>
        <w:spacing w:lineRule="auto" w:line="276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>such other grounds as counsel may advise and as this honourable Court may permit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zparawtab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wtab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wtab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wtab-e"/>
        <w:spacing w:lineRule="auto" w:line="276" w:before="0" w:after="0"/>
        <w:rPr/>
      </w:pPr>
      <w:r>
        <w:rPr>
          <w:rFonts w:ascii="Times New Roman" w:hAnsi="Times New Roman"/>
          <w:sz w:val="24"/>
          <w:szCs w:val="24"/>
        </w:rPr>
        <w:t>THE FOLLOWING DOCUMENTARY EVIDENCE will be used at the hearing of the motion:</w:t>
      </w:r>
    </w:p>
    <w:p>
      <w:pPr>
        <w:pStyle w:val="zparawtab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wtab-e"/>
        <w:numPr>
          <w:ilvl w:val="0"/>
          <w:numId w:val="2"/>
        </w:numPr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motion record before the motions judge from which appeal was taken to the Divisional Court;</w:t>
      </w:r>
    </w:p>
    <w:p>
      <w:pPr>
        <w:pStyle w:val="zparawtab-e"/>
        <w:numPr>
          <w:ilvl w:val="0"/>
          <w:numId w:val="2"/>
        </w:numPr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appeal record before the Divisional Court; </w:t>
      </w:r>
    </w:p>
    <w:p>
      <w:pPr>
        <w:pStyle w:val="zparawtab-e"/>
        <w:numPr>
          <w:ilvl w:val="0"/>
          <w:numId w:val="2"/>
        </w:numPr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order of the Divisional Court pronounced on [</w:t>
      </w:r>
      <w:r>
        <w:rPr>
          <w:rFonts w:ascii="Times New Roman" w:hAnsi="Times New Roman"/>
          <w:sz w:val="24"/>
          <w:szCs w:val="24"/>
          <w:shd w:fill="FFFF00" w:val="clear"/>
        </w:rPr>
        <w:t>date</w:t>
      </w:r>
      <w:r>
        <w:rPr>
          <w:rFonts w:ascii="Times New Roman" w:hAnsi="Times New Roman"/>
          <w:sz w:val="24"/>
          <w:szCs w:val="24"/>
        </w:rPr>
        <w:t>], and the reasons therefor, if any are available;</w:t>
      </w:r>
    </w:p>
    <w:p>
      <w:pPr>
        <w:pStyle w:val="zparawtab-e"/>
        <w:numPr>
          <w:ilvl w:val="0"/>
          <w:numId w:val="2"/>
        </w:numPr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such other evidence as counsel may tender and as this honourable Court may admit.</w:t>
      </w:r>
    </w:p>
    <w:p>
      <w:pPr>
        <w:pStyle w:val="zparawtab-e"/>
        <w:tabs>
          <w:tab w:val="right" w:pos="239" w:leader="none"/>
          <w:tab w:val="left" w:pos="279" w:leader="none"/>
          <w:tab w:val="right" w:pos="9288" w:leader="none"/>
        </w:tabs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wtab-e"/>
        <w:tabs>
          <w:tab w:val="right" w:pos="239" w:leader="none"/>
          <w:tab w:val="left" w:pos="279" w:leader="none"/>
          <w:tab w:val="right" w:pos="9288" w:leader="none"/>
        </w:tabs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able-e"/>
        <w:tabs>
          <w:tab w:val="clear" w:pos="720"/>
          <w:tab w:val="left" w:pos="3960" w:leader="none"/>
        </w:tabs>
        <w:spacing w:lineRule="auto" w:line="276"/>
        <w:ind w:hanging="3960" w:left="3960"/>
        <w:rPr/>
      </w:pPr>
      <w:r>
        <w:rPr>
          <w:iCs/>
          <w:sz w:val="24"/>
          <w:szCs w:val="24"/>
        </w:rPr>
        <w:fldChar w:fldCharType="begin"/>
      </w:r>
      <w:r>
        <w:rPr>
          <w:sz w:val="24"/>
          <w:szCs w:val="24"/>
          <w:iCs/>
        </w:rPr>
        <w:instrText xml:space="preserve"> MERGEFIELD Global_Today </w:instrText>
      </w:r>
      <w:r>
        <w:rPr>
          <w:sz w:val="24"/>
          <w:szCs w:val="24"/>
          <w:iCs/>
        </w:rPr>
        <w:fldChar w:fldCharType="separate"/>
      </w:r>
      <w:r>
        <w:rPr>
          <w:sz w:val="24"/>
          <w:szCs w:val="24"/>
          <w:iCs/>
        </w:rPr>
        <w:t>«Global_Today»</w:t>
      </w:r>
      <w:r>
        <w:rPr>
          <w:sz w:val="24"/>
          <w:szCs w:val="24"/>
          <w:iCs/>
        </w:rPr>
        <w:fldChar w:fldCharType="end"/>
      </w:r>
      <w:r>
        <w:rPr>
          <w:iCs/>
          <w:sz w:val="24"/>
          <w:szCs w:val="24"/>
        </w:rPr>
        <w:tab/>
      </w:r>
      <w:r>
        <w:rPr>
          <w:b/>
          <w:bCs/>
          <w:iCs/>
          <w:caps w:val="false"/>
          <w:smallCaps w:val="false"/>
          <w:sz w:val="24"/>
          <w:szCs w:val="24"/>
        </w:rPr>
        <w:tab/>
        <w:tab/>
        <w:tab/>
        <w:t>Adam P. Strombergsson-DeNora</w:t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  <w:t>LSO 83864D</w:t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  <w:t>e. adam@apstrom.ca</w:t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  <w:t>Karifa Magassouba</w:t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>LSO 90130M</w:t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>e. karifa@apstrom.ca</w:t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  <w:t>P.O.Box 74035 Ottawa RPO Beechwood</w:t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  <w:t xml:space="preserve">Ottawa. K1M </w:t>
      </w: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>2H9</w:t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  <w:t>t. 613 699 2127</w:t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</w:pPr>
      <w:r>
        <w:rPr/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sz w:val="24"/>
          <w:szCs w:val="24"/>
        </w:rPr>
        <w:t>Counsel to the applicant</w:t>
      </w:r>
    </w:p>
    <w:p>
      <w:pPr>
        <w:pStyle w:val="table-e"/>
        <w:tabs>
          <w:tab w:val="clear" w:pos="720"/>
          <w:tab w:val="left" w:pos="3960" w:leader="none"/>
        </w:tabs>
        <w:spacing w:lineRule="auto" w:line="276"/>
        <w:ind w:hanging="3960" w:left="3960"/>
        <w:rPr/>
      </w:pPr>
      <w:r>
        <w:rPr>
          <w:b w:val="false"/>
          <w:bCs w:val="false"/>
          <w:iCs/>
          <w:caps w:val="false"/>
          <w:smallCaps w:val="false"/>
          <w:sz w:val="24"/>
          <w:szCs w:val="24"/>
        </w:rPr>
        <w:t>TO</w:t>
      </w:r>
    </w:p>
    <w:p>
      <w:pPr>
        <w:pStyle w:val="table-e"/>
        <w:tabs>
          <w:tab w:val="clear" w:pos="720"/>
          <w:tab w:val="left" w:pos="3960" w:leader="none"/>
        </w:tabs>
        <w:spacing w:lineRule="auto" w:line="276"/>
        <w:ind w:hanging="3960" w:left="3960"/>
        <w:rPr>
          <w:rFonts w:ascii="Times New Roman" w:hAnsi="Times New Roman"/>
          <w:b w:val="false"/>
          <w:bCs w:val="false"/>
          <w:iCs/>
          <w:caps w:val="false"/>
          <w:smallCaps w:val="false"/>
          <w:sz w:val="24"/>
          <w:szCs w:val="24"/>
        </w:rPr>
      </w:pPr>
      <w:r>
        <w:rPr/>
      </w:r>
    </w:p>
    <w:p>
      <w:pPr>
        <w:pStyle w:val="table-e"/>
        <w:tabs>
          <w:tab w:val="clear" w:pos="720"/>
          <w:tab w:val="left" w:pos="3960" w:leader="none"/>
        </w:tabs>
        <w:spacing w:lineRule="auto" w:line="276"/>
        <w:ind w:hanging="3960" w:left="3960"/>
        <w:rPr>
          <w:rFonts w:ascii="Times New Roman" w:hAnsi="Times New Roman"/>
          <w:b w:val="false"/>
          <w:bCs w:val="false"/>
          <w:iCs/>
          <w:caps w:val="false"/>
          <w:smallCaps w:val="false"/>
          <w:sz w:val="24"/>
          <w:szCs w:val="24"/>
        </w:rPr>
      </w:pPr>
      <w:r>
        <w:rPr/>
      </w:r>
    </w:p>
    <w:p>
      <w:pPr>
        <w:pStyle w:val="table-e"/>
        <w:tabs>
          <w:tab w:val="clear" w:pos="720"/>
          <w:tab w:val="left" w:pos="3960" w:leader="none"/>
        </w:tabs>
        <w:spacing w:lineRule="auto" w:line="276"/>
        <w:ind w:hanging="3960" w:left="3960"/>
        <w:rPr>
          <w:rFonts w:ascii="Times New Roman" w:hAnsi="Times New Roman"/>
          <w:b w:val="false"/>
          <w:bCs w:val="false"/>
          <w:iCs/>
          <w:caps w:val="false"/>
          <w:smallCaps w:val="false"/>
          <w:sz w:val="24"/>
          <w:szCs w:val="24"/>
        </w:rPr>
      </w:pPr>
      <w:r>
        <w:rPr/>
      </w:r>
    </w:p>
    <w:p>
      <w:pPr>
        <w:pStyle w:val="table-e"/>
        <w:tabs>
          <w:tab w:val="clear" w:pos="720"/>
          <w:tab w:val="left" w:pos="3960" w:leader="none"/>
        </w:tabs>
        <w:spacing w:lineRule="auto" w:line="276"/>
        <w:ind w:hanging="3960" w:left="3960"/>
        <w:rPr>
          <w:rFonts w:ascii="Times New Roman" w:hAnsi="Times New Roman"/>
          <w:b w:val="false"/>
          <w:bCs w:val="false"/>
          <w:iCs/>
          <w:caps w:val="false"/>
          <w:smallCaps w:val="false"/>
          <w:sz w:val="24"/>
          <w:szCs w:val="24"/>
        </w:rPr>
      </w:pPr>
      <w:r>
        <w:rPr/>
      </w:r>
      <w:r>
        <w:br w:type="page"/>
      </w:r>
    </w:p>
    <w:p>
      <w:pPr>
        <w:pStyle w:val="table-e"/>
        <w:tabs>
          <w:tab w:val="clear" w:pos="720"/>
          <w:tab w:val="left" w:pos="3960" w:leader="none"/>
        </w:tabs>
        <w:spacing w:lineRule="auto" w:line="276"/>
        <w:ind w:hanging="3960" w:left="3960"/>
        <w:jc w:val="center"/>
        <w:rPr>
          <w:rFonts w:ascii="Times New Roman" w:hAnsi="Times New Roman"/>
          <w:iCs/>
          <w:caps w:val="false"/>
          <w:smallCaps w:val="false"/>
          <w:sz w:val="24"/>
          <w:szCs w:val="24"/>
        </w:rPr>
      </w:pPr>
      <w:r>
        <w:rPr>
          <w:b/>
          <w:bCs/>
        </w:rPr>
      </w:r>
    </w:p>
    <w:p>
      <w:pPr>
        <w:pStyle w:val="table-e"/>
        <w:tabs>
          <w:tab w:val="clear" w:pos="720"/>
          <w:tab w:val="left" w:pos="3960" w:leader="none"/>
        </w:tabs>
        <w:spacing w:lineRule="auto" w:line="276"/>
        <w:ind w:hanging="3960" w:left="3960"/>
        <w:jc w:val="center"/>
        <w:rPr>
          <w:rFonts w:ascii="Times New Roman" w:hAnsi="Times New Roman"/>
          <w:iCs/>
          <w:caps w:val="false"/>
          <w:smallCaps w:val="false"/>
          <w:sz w:val="24"/>
          <w:szCs w:val="24"/>
        </w:rPr>
      </w:pPr>
      <w:r>
        <w:rPr>
          <w:b/>
          <w:bCs/>
        </w:rPr>
      </w:r>
    </w:p>
    <w:p>
      <w:pPr>
        <w:pStyle w:val="table-e"/>
        <w:tabs>
          <w:tab w:val="clear" w:pos="720"/>
          <w:tab w:val="left" w:pos="3960" w:leader="none"/>
        </w:tabs>
        <w:spacing w:lineRule="auto" w:line="276"/>
        <w:ind w:hanging="3960" w:left="3960"/>
        <w:jc w:val="center"/>
        <w:rPr>
          <w:rFonts w:ascii="Times New Roman" w:hAnsi="Times New Roman"/>
          <w:iCs/>
          <w:caps w:val="false"/>
          <w:smallCaps w:val="false"/>
          <w:sz w:val="24"/>
          <w:szCs w:val="24"/>
        </w:rPr>
      </w:pPr>
      <w:r>
        <w:rPr>
          <w:b/>
          <w:bCs/>
        </w:rPr>
      </w:r>
    </w:p>
    <w:p>
      <w:pPr>
        <w:pStyle w:val="table-e"/>
        <w:tabs>
          <w:tab w:val="clear" w:pos="720"/>
          <w:tab w:val="left" w:pos="3960" w:leader="none"/>
        </w:tabs>
        <w:spacing w:lineRule="auto" w:line="276"/>
        <w:ind w:hanging="3960" w:left="3960"/>
        <w:jc w:val="center"/>
        <w:rPr>
          <w:rFonts w:ascii="Times New Roman" w:hAnsi="Times New Roman"/>
          <w:iCs/>
          <w:caps w:val="false"/>
          <w:smallCaps w:val="false"/>
          <w:sz w:val="24"/>
          <w:szCs w:val="24"/>
        </w:rPr>
      </w:pPr>
      <w:r>
        <w:rPr>
          <w:b/>
          <w:bCs/>
        </w:rPr>
      </w:r>
    </w:p>
    <w:p>
      <w:pPr>
        <w:pStyle w:val="table-e"/>
        <w:tabs>
          <w:tab w:val="clear" w:pos="720"/>
          <w:tab w:val="left" w:pos="3960" w:leader="none"/>
        </w:tabs>
        <w:spacing w:lineRule="auto" w:line="276"/>
        <w:ind w:hanging="3960" w:left="3960"/>
        <w:jc w:val="center"/>
        <w:rPr>
          <w:rFonts w:ascii="Times New Roman" w:hAnsi="Times New Roman"/>
          <w:iCs/>
          <w:caps w:val="false"/>
          <w:smallCaps w:val="false"/>
          <w:sz w:val="24"/>
          <w:szCs w:val="24"/>
        </w:rPr>
      </w:pPr>
      <w:r>
        <w:rPr>
          <w:b/>
          <w:bCs/>
        </w:rPr>
      </w:r>
    </w:p>
    <w:p>
      <w:pPr>
        <w:pStyle w:val="table-e"/>
        <w:tabs>
          <w:tab w:val="clear" w:pos="720"/>
          <w:tab w:val="left" w:pos="3960" w:leader="none"/>
        </w:tabs>
        <w:spacing w:lineRule="auto" w:line="276"/>
        <w:ind w:hanging="3960" w:left="3960"/>
        <w:jc w:val="center"/>
        <w:rPr>
          <w:rFonts w:ascii="Times New Roman" w:hAnsi="Times New Roman"/>
          <w:iCs/>
          <w:caps w:val="false"/>
          <w:smallCaps w:val="false"/>
          <w:sz w:val="24"/>
          <w:szCs w:val="24"/>
        </w:rPr>
      </w:pPr>
      <w:r>
        <w:rPr>
          <w:b/>
          <w:bCs/>
        </w:rPr>
      </w:r>
    </w:p>
    <w:p>
      <w:pPr>
        <w:pStyle w:val="table-e"/>
        <w:tabs>
          <w:tab w:val="clear" w:pos="720"/>
          <w:tab w:val="left" w:pos="3960" w:leader="none"/>
        </w:tabs>
        <w:spacing w:lineRule="auto" w:line="276"/>
        <w:ind w:hanging="3960" w:left="3960"/>
        <w:jc w:val="center"/>
        <w:rPr>
          <w:rFonts w:ascii="Times New Roman" w:hAnsi="Times New Roman"/>
          <w:iCs/>
          <w:caps w:val="false"/>
          <w:smallCaps w:val="false"/>
          <w:sz w:val="24"/>
          <w:szCs w:val="24"/>
        </w:rPr>
      </w:pPr>
      <w:r>
        <w:rPr>
          <w:b/>
          <w:bCs/>
        </w:rPr>
      </w:r>
    </w:p>
    <w:p>
      <w:pPr>
        <w:pStyle w:val="table-e"/>
        <w:tabs>
          <w:tab w:val="clear" w:pos="720"/>
          <w:tab w:val="left" w:pos="3960" w:leader="none"/>
        </w:tabs>
        <w:spacing w:lineRule="auto" w:line="276"/>
        <w:ind w:hanging="3960" w:left="3960"/>
        <w:jc w:val="center"/>
        <w:rPr>
          <w:rFonts w:ascii="Times New Roman" w:hAnsi="Times New Roman"/>
          <w:iCs/>
          <w:caps w:val="false"/>
          <w:smallCaps w:val="false"/>
          <w:sz w:val="24"/>
          <w:szCs w:val="24"/>
        </w:rPr>
      </w:pPr>
      <w:r>
        <w:rPr>
          <w:b/>
          <w:bCs/>
        </w:rPr>
      </w:r>
    </w:p>
    <w:p>
      <w:pPr>
        <w:pStyle w:val="table-e"/>
        <w:tabs>
          <w:tab w:val="clear" w:pos="720"/>
          <w:tab w:val="left" w:pos="3960" w:leader="none"/>
        </w:tabs>
        <w:spacing w:lineRule="auto" w:line="276"/>
        <w:ind w:hanging="3960" w:left="3960"/>
        <w:jc w:val="center"/>
        <w:rPr>
          <w:rFonts w:ascii="Times New Roman" w:hAnsi="Times New Roman"/>
          <w:iCs/>
          <w:caps w:val="false"/>
          <w:smallCaps w:val="false"/>
          <w:sz w:val="24"/>
          <w:szCs w:val="24"/>
        </w:rPr>
      </w:pPr>
      <w:r>
        <w:rPr>
          <w:b/>
          <w:bCs/>
        </w:rPr>
      </w:r>
    </w:p>
    <w:p>
      <w:pPr>
        <w:pStyle w:val="table-e"/>
        <w:tabs>
          <w:tab w:val="clear" w:pos="720"/>
          <w:tab w:val="left" w:pos="3960" w:leader="none"/>
        </w:tabs>
        <w:spacing w:lineRule="auto" w:line="276"/>
        <w:ind w:hanging="3960" w:left="3960"/>
        <w:jc w:val="center"/>
        <w:rPr>
          <w:rFonts w:ascii="Times New Roman" w:hAnsi="Times New Roman"/>
          <w:iCs/>
          <w:caps w:val="false"/>
          <w:smallCaps w:val="false"/>
          <w:sz w:val="24"/>
          <w:szCs w:val="24"/>
        </w:rPr>
      </w:pPr>
      <w:r>
        <w:rPr>
          <w:b/>
          <w:bCs/>
        </w:rPr>
      </w:r>
    </w:p>
    <w:p>
      <w:pPr>
        <w:pStyle w:val="table-e"/>
        <w:tabs>
          <w:tab w:val="clear" w:pos="720"/>
          <w:tab w:val="left" w:pos="3960" w:leader="none"/>
        </w:tabs>
        <w:spacing w:lineRule="auto" w:line="276"/>
        <w:ind w:hanging="3960" w:left="3960"/>
        <w:jc w:val="center"/>
        <w:rPr>
          <w:rFonts w:ascii="Times New Roman" w:hAnsi="Times New Roman"/>
          <w:iCs/>
          <w:caps w:val="false"/>
          <w:smallCaps w:val="false"/>
          <w:sz w:val="24"/>
          <w:szCs w:val="24"/>
        </w:rPr>
      </w:pPr>
      <w:r>
        <w:rPr>
          <w:b/>
          <w:bCs/>
        </w:rPr>
      </w:r>
    </w:p>
    <w:p>
      <w:pPr>
        <w:pStyle w:val="table-e"/>
        <w:tabs>
          <w:tab w:val="clear" w:pos="720"/>
          <w:tab w:val="left" w:pos="3960" w:leader="none"/>
        </w:tabs>
        <w:spacing w:lineRule="auto" w:line="276"/>
        <w:ind w:hanging="3960" w:left="3960"/>
        <w:jc w:val="center"/>
        <w:rPr>
          <w:rFonts w:ascii="Times New Roman" w:hAnsi="Times New Roman"/>
          <w:iCs/>
          <w:caps w:val="false"/>
          <w:smallCaps w:val="false"/>
          <w:sz w:val="24"/>
          <w:szCs w:val="24"/>
        </w:rPr>
      </w:pPr>
      <w:r>
        <w:rPr>
          <w:b/>
          <w:bCs/>
        </w:rPr>
      </w:r>
    </w:p>
    <w:p>
      <w:pPr>
        <w:pStyle w:val="table-e"/>
        <w:tabs>
          <w:tab w:val="clear" w:pos="720"/>
          <w:tab w:val="left" w:pos="3960" w:leader="none"/>
        </w:tabs>
        <w:spacing w:lineRule="auto" w:line="276"/>
        <w:ind w:hanging="3960" w:left="3960"/>
        <w:jc w:val="center"/>
        <w:rPr>
          <w:rFonts w:ascii="Times New Roman" w:hAnsi="Times New Roman"/>
          <w:iCs/>
          <w:caps w:val="false"/>
          <w:smallCaps w:val="false"/>
          <w:sz w:val="24"/>
          <w:szCs w:val="24"/>
        </w:rPr>
      </w:pPr>
      <w:r>
        <w:rPr>
          <w:b/>
          <w:bCs/>
        </w:rPr>
      </w:r>
    </w:p>
    <w:p>
      <w:pPr>
        <w:pStyle w:val="table-e"/>
        <w:tabs>
          <w:tab w:val="clear" w:pos="720"/>
          <w:tab w:val="left" w:pos="3960" w:leader="none"/>
        </w:tabs>
        <w:spacing w:lineRule="auto" w:line="276"/>
        <w:ind w:hanging="3960" w:left="3960"/>
        <w:jc w:val="center"/>
        <w:rPr>
          <w:rFonts w:ascii="Times New Roman" w:hAnsi="Times New Roman"/>
          <w:iCs/>
          <w:caps w:val="false"/>
          <w:smallCaps w:val="false"/>
          <w:sz w:val="24"/>
          <w:szCs w:val="24"/>
        </w:rPr>
      </w:pPr>
      <w:r>
        <w:rPr>
          <w:b/>
          <w:bCs/>
        </w:rPr>
      </w:r>
    </w:p>
    <w:p>
      <w:pPr>
        <w:pStyle w:val="table-e"/>
        <w:tabs>
          <w:tab w:val="clear" w:pos="720"/>
          <w:tab w:val="left" w:pos="3960" w:leader="none"/>
        </w:tabs>
        <w:spacing w:lineRule="auto" w:line="276"/>
        <w:ind w:hanging="3960" w:left="3960"/>
        <w:jc w:val="center"/>
        <w:rPr>
          <w:rFonts w:ascii="Times New Roman" w:hAnsi="Times New Roman"/>
          <w:iCs/>
          <w:caps w:val="false"/>
          <w:smallCaps w:val="false"/>
          <w:sz w:val="24"/>
          <w:szCs w:val="24"/>
        </w:rPr>
      </w:pPr>
      <w:r>
        <w:rPr>
          <w:b/>
          <w:bCs/>
        </w:rPr>
      </w:r>
    </w:p>
    <w:p>
      <w:pPr>
        <w:pStyle w:val="table-e"/>
        <w:tabs>
          <w:tab w:val="clear" w:pos="720"/>
          <w:tab w:val="left" w:pos="3960" w:leader="none"/>
        </w:tabs>
        <w:spacing w:lineRule="auto" w:line="276"/>
        <w:ind w:hanging="3960" w:left="3960"/>
        <w:jc w:val="center"/>
        <w:rPr>
          <w:rFonts w:ascii="Times New Roman" w:hAnsi="Times New Roman"/>
          <w:iCs/>
          <w:caps w:val="false"/>
          <w:smallCaps w:val="false"/>
          <w:sz w:val="24"/>
          <w:szCs w:val="24"/>
        </w:rPr>
      </w:pPr>
      <w:r>
        <w:rPr>
          <w:b/>
          <w:bCs/>
        </w:rPr>
      </w:r>
    </w:p>
    <w:p>
      <w:pPr>
        <w:pStyle w:val="table-e"/>
        <w:tabs>
          <w:tab w:val="clear" w:pos="720"/>
          <w:tab w:val="left" w:pos="3960" w:leader="none"/>
        </w:tabs>
        <w:spacing w:lineRule="auto" w:line="276"/>
        <w:ind w:hanging="3960" w:left="3960"/>
        <w:jc w:val="center"/>
        <w:rPr>
          <w:rFonts w:ascii="Times New Roman" w:hAnsi="Times New Roman"/>
          <w:iCs/>
          <w:caps w:val="false"/>
          <w:smallCaps w:val="false"/>
          <w:sz w:val="24"/>
          <w:szCs w:val="24"/>
        </w:rPr>
      </w:pPr>
      <w:r>
        <w:rPr>
          <w:b/>
          <w:bCs/>
        </w:rPr>
      </w:r>
    </w:p>
    <w:p>
      <w:pPr>
        <w:pStyle w:val="table-e"/>
        <w:tabs>
          <w:tab w:val="clear" w:pos="720"/>
          <w:tab w:val="left" w:pos="3960" w:leader="none"/>
        </w:tabs>
        <w:spacing w:lineRule="auto" w:line="276"/>
        <w:ind w:hanging="3960" w:left="3960"/>
        <w:jc w:val="center"/>
        <w:rPr>
          <w:rFonts w:ascii="Times New Roman" w:hAnsi="Times New Roman"/>
          <w:iCs/>
          <w:caps w:val="false"/>
          <w:smallCaps w:val="false"/>
          <w:sz w:val="24"/>
          <w:szCs w:val="24"/>
        </w:rPr>
      </w:pPr>
      <w:r>
        <w:rPr>
          <w:b/>
          <w:bCs/>
        </w:rPr>
      </w:r>
    </w:p>
    <w:p>
      <w:pPr>
        <w:pStyle w:val="table-e"/>
        <w:tabs>
          <w:tab w:val="clear" w:pos="720"/>
          <w:tab w:val="left" w:pos="3960" w:leader="none"/>
        </w:tabs>
        <w:spacing w:lineRule="auto" w:line="276"/>
        <w:ind w:hanging="3960" w:left="3960"/>
        <w:jc w:val="center"/>
        <w:rPr>
          <w:rFonts w:ascii="Times New Roman" w:hAnsi="Times New Roman"/>
          <w:iCs/>
          <w:caps w:val="false"/>
          <w:smallCaps w:val="false"/>
          <w:sz w:val="24"/>
          <w:szCs w:val="24"/>
        </w:rPr>
      </w:pPr>
      <w:r>
        <w:rPr>
          <w:b/>
          <w:bCs/>
        </w:rPr>
      </w:r>
    </w:p>
    <w:p>
      <w:pPr>
        <w:pStyle w:val="table-e"/>
        <w:tabs>
          <w:tab w:val="clear" w:pos="720"/>
          <w:tab w:val="left" w:pos="3960" w:leader="none"/>
        </w:tabs>
        <w:spacing w:lineRule="auto" w:line="276"/>
        <w:ind w:hanging="3960" w:left="3960"/>
        <w:jc w:val="center"/>
        <w:rPr>
          <w:b/>
          <w:bCs/>
        </w:rPr>
      </w:pPr>
      <w:r>
        <w:rPr>
          <w:b/>
          <w:bCs/>
          <w:iCs/>
          <w:caps w:val="false"/>
          <w:smallCaps w:val="false"/>
          <w:sz w:val="24"/>
          <w:szCs w:val="24"/>
        </w:rPr>
        <w:t>SCHEDULE A</w:t>
      </w:r>
      <w:r>
        <w:br w:type="page"/>
      </w:r>
    </w:p>
    <w:p>
      <w:pPr>
        <w:pStyle w:val="table-e"/>
        <w:tabs>
          <w:tab w:val="clear" w:pos="720"/>
          <w:tab w:val="left" w:pos="3960" w:leader="none"/>
        </w:tabs>
        <w:spacing w:lineRule="auto" w:line="276"/>
        <w:ind w:hanging="3960" w:left="3960"/>
        <w:jc w:val="center"/>
        <w:rPr>
          <w:rFonts w:ascii="Times New Roman" w:hAnsi="Times New Roman"/>
          <w:iCs/>
          <w:caps w:val="false"/>
          <w:smallCaps w:val="false"/>
          <w:sz w:val="24"/>
          <w:szCs w:val="24"/>
        </w:rPr>
      </w:pPr>
      <w:r>
        <w:rPr>
          <w:b/>
          <w:bCs/>
        </w:rPr>
      </w:r>
    </w:p>
    <w:p>
      <w:pPr>
        <w:pStyle w:val="Normal"/>
        <w:spacing w:lineRule="auto" w:line="288"/>
        <w:jc w:val="center"/>
        <w:rPr/>
      </w:pPr>
      <w:r>
        <w:rPr>
          <w:b/>
          <w:bCs/>
        </w:rPr>
        <w:t>COURT OF APPEAL FOR ONTARIO</w:t>
      </w:r>
    </w:p>
    <w:p>
      <w:pPr>
        <w:pStyle w:val="Normal"/>
        <w:spacing w:lineRule="auto" w:line="288"/>
        <w:jc w:val="center"/>
        <w:rPr>
          <w:b/>
          <w:bCs/>
        </w:rPr>
      </w:pPr>
      <w:r>
        <w:rPr>
          <w:b/>
          <w:bCs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70"/>
        <w:gridCol w:w="450"/>
        <w:gridCol w:w="4560"/>
      </w:tblGrid>
      <w:tr>
        <w:trPr/>
        <w:tc>
          <w:tcPr>
            <w:tcW w:w="5070" w:type="dxa"/>
            <w:tcBorders>
              <w:right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THE HONOURABLE</w:t>
            </w:r>
          </w:p>
        </w:tc>
        <w:tc>
          <w:tcPr>
            <w:tcW w:w="450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4560" w:type="dxa"/>
            <w:vMerge w:val="restart"/>
            <w:tcBorders/>
            <w:vAlign w:val="center"/>
          </w:tcPr>
          <w:p>
            <w:pPr>
              <w:pStyle w:val="TableContents"/>
              <w:jc w:val="center"/>
              <w:rPr/>
            </w:pPr>
            <w:r>
              <w:rPr/>
              <w:t>[DATE]</w:t>
            </w:r>
          </w:p>
        </w:tc>
      </w:tr>
      <w:tr>
        <w:trPr/>
        <w:tc>
          <w:tcPr>
            <w:tcW w:w="5070" w:type="dxa"/>
            <w:tcBorders>
              <w:right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 xml:space="preserve">JUSTICE </w:t>
            </w:r>
          </w:p>
        </w:tc>
        <w:tc>
          <w:tcPr>
            <w:tcW w:w="450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4560" w:type="dxa"/>
            <w:vMerge w:val="continue"/>
            <w:tcBorders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5070" w:type="dxa"/>
            <w:tcBorders>
              <w:right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450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4560" w:type="dxa"/>
            <w:vMerge w:val="continue"/>
            <w:tcBorders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5070" w:type="dxa"/>
            <w:tcBorders>
              <w:right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THE HONOURABLE</w:t>
            </w:r>
          </w:p>
        </w:tc>
        <w:tc>
          <w:tcPr>
            <w:tcW w:w="450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4560" w:type="dxa"/>
            <w:vMerge w:val="continue"/>
            <w:tcBorders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5070" w:type="dxa"/>
            <w:tcBorders>
              <w:right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 xml:space="preserve">JUSTICE </w:t>
            </w:r>
          </w:p>
        </w:tc>
        <w:tc>
          <w:tcPr>
            <w:tcW w:w="450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4560" w:type="dxa"/>
            <w:vMerge w:val="continue"/>
            <w:tcBorders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5070" w:type="dxa"/>
            <w:tcBorders>
              <w:right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450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4560" w:type="dxa"/>
            <w:vMerge w:val="continue"/>
            <w:tcBorders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5070" w:type="dxa"/>
            <w:tcBorders>
              <w:right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THE HONOURABLE</w:t>
            </w:r>
          </w:p>
        </w:tc>
        <w:tc>
          <w:tcPr>
            <w:tcW w:w="450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4560" w:type="dxa"/>
            <w:vMerge w:val="continue"/>
            <w:tcBorders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5070" w:type="dxa"/>
            <w:tcBorders>
              <w:right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 xml:space="preserve">JUSTICE </w:t>
            </w:r>
          </w:p>
        </w:tc>
        <w:tc>
          <w:tcPr>
            <w:tcW w:w="450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4560" w:type="dxa"/>
            <w:vMerge w:val="continue"/>
            <w:tcBorders/>
          </w:tcPr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Normal"/>
        <w:spacing w:lineRule="auto" w:line="288"/>
        <w:jc w:val="center"/>
        <w:rPr>
          <w:b/>
          <w:bCs/>
        </w:rPr>
      </w:pPr>
      <w:r>
        <w:rPr/>
      </w:r>
    </w:p>
    <w:p>
      <w:pPr>
        <w:pStyle w:val="NormalWeb"/>
        <w:spacing w:lineRule="auto" w:line="276"/>
        <w:rPr>
          <w:lang w:val="fr-CA"/>
        </w:rPr>
      </w:pPr>
      <w:r>
        <w:rPr>
          <w:lang w:val="fr-CA"/>
        </w:rPr>
        <w:t>B E T W E E N:</w:t>
      </w:r>
      <w:r>
        <w:rPr>
          <w:b/>
          <w:bCs/>
          <w:lang w:val="fr-CA"/>
        </w:rPr>
        <w:t xml:space="preserve"> </w:t>
        <w:tab/>
        <w:tab/>
        <w:tab/>
      </w:r>
    </w:p>
    <w:p>
      <w:pPr>
        <w:pStyle w:val="NormalWeb"/>
        <w:spacing w:lineRule="auto" w:line="276"/>
        <w:jc w:val="center"/>
        <w:rPr/>
      </w:pPr>
      <w:r>
        <w:rPr/>
      </w:r>
    </w:p>
    <w:p>
      <w:pPr>
        <w:pStyle w:val="NormalWeb"/>
        <w:spacing w:lineRule="auto" w:line="276"/>
        <w:jc w:val="right"/>
        <w:rPr/>
      </w:pPr>
      <w:r>
        <w:rPr/>
        <w:t>applicant</w:t>
      </w:r>
    </w:p>
    <w:p>
      <w:pPr>
        <w:pStyle w:val="lowercaseheading1"/>
        <w:keepNext w:val="false"/>
        <w:numPr>
          <w:ilvl w:val="0"/>
          <w:numId w:val="0"/>
        </w:numPr>
        <w:spacing w:lineRule="auto" w:line="276" w:before="120" w:after="120"/>
        <w:ind w:hanging="0" w:left="0"/>
        <w:jc w:val="center"/>
        <w:outlineLvl w:val="0"/>
        <w:rPr/>
      </w:pPr>
      <w:r>
        <w:rPr>
          <w:b w:val="false"/>
          <w:bCs w:val="false"/>
        </w:rPr>
        <w:t>- and -</w:t>
      </w:r>
    </w:p>
    <w:p>
      <w:pPr>
        <w:pStyle w:val="NormalWeb"/>
        <w:spacing w:lineRule="auto" w:line="276" w:before="0" w:after="0"/>
        <w:jc w:val="center"/>
        <w:rPr/>
      </w:pPr>
      <w:r>
        <w:rPr/>
      </w:r>
    </w:p>
    <w:p>
      <w:pPr>
        <w:pStyle w:val="NormalWeb"/>
        <w:spacing w:lineRule="auto" w:line="276"/>
        <w:jc w:val="right"/>
        <w:rPr/>
      </w:pPr>
      <w:bookmarkStart w:id="0" w:name="_Hlk129257684"/>
      <w:r>
        <w:rPr>
          <w:iCs/>
          <w:caps w:val="false"/>
          <w:smallCaps w:val="false"/>
          <w:sz w:val="24"/>
          <w:szCs w:val="24"/>
        </w:rPr>
        <w:t>r</w:t>
      </w:r>
      <w:bookmarkEnd w:id="0"/>
      <w:r>
        <w:rPr>
          <w:iCs/>
          <w:caps w:val="false"/>
          <w:smallCaps w:val="false"/>
          <w:sz w:val="24"/>
          <w:szCs w:val="24"/>
        </w:rPr>
        <w:t>espondent</w:t>
      </w:r>
    </w:p>
    <w:p>
      <w:pPr>
        <w:pStyle w:val="NormalWeb"/>
        <w:spacing w:lineRule="auto" w:line="276" w:before="0" w:after="0"/>
        <w:jc w:val="center"/>
        <w:rPr>
          <w:b/>
          <w:bCs/>
        </w:rPr>
      </w:pPr>
      <w:r>
        <w:rPr>
          <w:b/>
          <w:bCs/>
          <w:iCs/>
          <w:caps w:val="false"/>
          <w:smallCaps w:val="false"/>
          <w:sz w:val="24"/>
          <w:szCs w:val="24"/>
        </w:rPr>
        <w:t>ORDER</w:t>
      </w:r>
    </w:p>
    <w:p>
      <w:pPr>
        <w:pStyle w:val="NormalWeb"/>
        <w:spacing w:lineRule="auto" w:line="276" w:before="0" w:after="0"/>
        <w:jc w:val="center"/>
        <w:rPr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  <w:caps w:val="false"/>
          <w:smallCaps w:val="false"/>
          <w:sz w:val="24"/>
          <w:szCs w:val="24"/>
        </w:rPr>
        <w:t>Leave to appeal</w:t>
      </w:r>
    </w:p>
    <w:p>
      <w:pPr>
        <w:pStyle w:val="NormalWeb"/>
        <w:spacing w:lineRule="auto" w:line="276" w:before="0" w:after="0"/>
        <w:jc w:val="center"/>
        <w:rPr>
          <w:rFonts w:ascii="Times New Roman" w:hAnsi="Times New Roman"/>
          <w:iCs/>
          <w:caps w:val="false"/>
          <w:smallCaps w:val="false"/>
          <w:sz w:val="24"/>
          <w:szCs w:val="24"/>
        </w:rPr>
      </w:pPr>
      <w:r>
        <w:rPr>
          <w:b/>
          <w:bCs/>
        </w:rPr>
      </w:r>
    </w:p>
    <w:p>
      <w:pPr>
        <w:pStyle w:val="NormalWeb"/>
        <w:spacing w:lineRule="auto" w:line="480" w:before="0" w:after="0"/>
        <w:jc w:val="left"/>
        <w:rPr/>
      </w:pPr>
      <w:r>
        <w:rPr>
          <w:b w:val="false"/>
          <w:bCs w:val="false"/>
          <w:iCs/>
          <w:caps w:val="false"/>
          <w:smallCaps w:val="false"/>
          <w:sz w:val="24"/>
          <w:szCs w:val="24"/>
        </w:rPr>
        <w:t>THIS MOTION, made by the applicant, for an order granting leave to the applicants to appeal to the Court of Appeal from the order of the Divisional Court pronounced on [</w:t>
      </w:r>
      <w:r>
        <w:rPr>
          <w:b w:val="false"/>
          <w:bCs w:val="false"/>
          <w:iCs/>
          <w:caps w:val="false"/>
          <w:smallCaps w:val="false"/>
          <w:sz w:val="24"/>
          <w:szCs w:val="24"/>
          <w:shd w:fill="FFFF00" w:val="clear"/>
        </w:rPr>
        <w:t>date</w:t>
      </w:r>
      <w:r>
        <w:rPr>
          <w:b w:val="false"/>
          <w:bCs w:val="false"/>
          <w:iCs/>
          <w:caps w:val="false"/>
          <w:smallCaps w:val="false"/>
          <w:sz w:val="24"/>
          <w:szCs w:val="24"/>
        </w:rPr>
        <w:t xml:space="preserve">] was heard this day at </w:t>
      </w:r>
      <w:r>
        <w:rPr>
          <w:b w:val="false"/>
          <w:bCs w:val="false"/>
          <w:iCs/>
          <w:caps w:val="false"/>
          <w:smallCaps w:val="false"/>
          <w:sz w:val="24"/>
          <w:szCs w:val="24"/>
        </w:rPr>
        <w:t xml:space="preserve">130 Queen Street West, </w:t>
      </w:r>
      <w:r>
        <w:rPr>
          <w:sz w:val="24"/>
          <w:szCs w:val="24"/>
        </w:rPr>
        <w:t xml:space="preserve">Toronto, ON, </w:t>
      </w:r>
      <w:r>
        <w:rPr>
          <w:b w:val="false"/>
          <w:bCs w:val="false"/>
          <w:iCs/>
          <w:caps w:val="false"/>
          <w:smallCaps w:val="false"/>
          <w:sz w:val="24"/>
          <w:szCs w:val="24"/>
        </w:rPr>
        <w:t>M5H 2N5</w:t>
      </w:r>
      <w:r>
        <w:rPr>
          <w:b w:val="false"/>
          <w:bCs w:val="false"/>
          <w:iCs/>
          <w:caps w:val="false"/>
          <w:smallCaps w:val="false"/>
          <w:sz w:val="24"/>
          <w:szCs w:val="24"/>
        </w:rPr>
        <w:t>.</w:t>
      </w:r>
    </w:p>
    <w:p>
      <w:pPr>
        <w:pStyle w:val="NormalWeb"/>
        <w:spacing w:lineRule="auto" w:line="480" w:before="0" w:after="0"/>
        <w:jc w:val="left"/>
        <w:rPr/>
      </w:pPr>
      <w:r>
        <w:rPr>
          <w:b w:val="false"/>
          <w:bCs w:val="false"/>
          <w:iCs/>
          <w:caps w:val="false"/>
          <w:smallCaps w:val="false"/>
          <w:sz w:val="24"/>
          <w:szCs w:val="24"/>
        </w:rPr>
        <w:t>AFTER CONSIDERING the motion record placed before the Superior Court and the appeal record put before the Divisional Court, and</w:t>
      </w:r>
    </w:p>
    <w:p>
      <w:pPr>
        <w:pStyle w:val="NormalWeb"/>
        <w:spacing w:lineRule="auto" w:line="480" w:before="0" w:after="0"/>
        <w:jc w:val="left"/>
        <w:rPr/>
      </w:pPr>
      <w:r>
        <w:rPr>
          <w:b w:val="false"/>
          <w:bCs w:val="false"/>
          <w:iCs/>
          <w:caps w:val="false"/>
          <w:smallCaps w:val="false"/>
          <w:sz w:val="24"/>
          <w:szCs w:val="24"/>
        </w:rPr>
        <w:t>ON READING the applicant’s written submissions, and the respondent’s written submissions,</w:t>
      </w:r>
    </w:p>
    <w:p>
      <w:pPr>
        <w:pStyle w:val="NormalWeb"/>
        <w:spacing w:lineRule="auto" w:line="480" w:before="0" w:after="0"/>
        <w:jc w:val="left"/>
        <w:rPr>
          <w:rFonts w:ascii="Times New Roman" w:hAnsi="Times New Roman"/>
          <w:b w:val="false"/>
          <w:bCs w:val="false"/>
          <w:iCs/>
          <w:caps w:val="false"/>
          <w:smallCaps w:val="false"/>
          <w:sz w:val="24"/>
          <w:szCs w:val="24"/>
        </w:rPr>
      </w:pPr>
      <w:r>
        <w:rPr/>
      </w:r>
    </w:p>
    <w:p>
      <w:pPr>
        <w:pStyle w:val="NormalWeb"/>
        <w:numPr>
          <w:ilvl w:val="0"/>
          <w:numId w:val="3"/>
        </w:numPr>
        <w:spacing w:lineRule="auto" w:line="480" w:before="0" w:after="0"/>
        <w:jc w:val="left"/>
        <w:rPr/>
      </w:pPr>
      <w:r>
        <w:rPr>
          <w:b w:val="false"/>
          <w:bCs w:val="false"/>
          <w:iCs/>
          <w:caps w:val="false"/>
          <w:smallCaps w:val="false"/>
          <w:sz w:val="24"/>
          <w:szCs w:val="24"/>
        </w:rPr>
        <w:t>THIS COURT ORDERS that leave be and is hereby granted to the applicants to appeal from the order of the Divisional Court pronounced on [</w:t>
      </w:r>
      <w:r>
        <w:rPr>
          <w:b w:val="false"/>
          <w:bCs w:val="false"/>
          <w:iCs/>
          <w:caps w:val="false"/>
          <w:smallCaps w:val="false"/>
          <w:sz w:val="24"/>
          <w:szCs w:val="24"/>
          <w:shd w:fill="FFFF00" w:val="clear"/>
        </w:rPr>
        <w:t>date</w:t>
      </w:r>
      <w:r>
        <w:rPr>
          <w:b w:val="false"/>
          <w:bCs w:val="false"/>
          <w:iCs/>
          <w:caps w:val="false"/>
          <w:smallCaps w:val="false"/>
          <w:sz w:val="24"/>
          <w:szCs w:val="24"/>
        </w:rPr>
        <w:t>] and made at [</w:t>
      </w:r>
      <w:r>
        <w:rPr>
          <w:b w:val="false"/>
          <w:bCs w:val="false"/>
          <w:iCs/>
          <w:caps w:val="false"/>
          <w:smallCaps w:val="false"/>
          <w:sz w:val="24"/>
          <w:szCs w:val="24"/>
          <w:shd w:fill="FFFF00" w:val="clear"/>
        </w:rPr>
        <w:t>place</w:t>
      </w:r>
      <w:r>
        <w:rPr>
          <w:b w:val="false"/>
          <w:bCs w:val="false"/>
          <w:iCs/>
          <w:caps w:val="false"/>
          <w:smallCaps w:val="false"/>
          <w:sz w:val="24"/>
          <w:szCs w:val="24"/>
        </w:rPr>
        <w:t>] to this Court of Appeal;</w:t>
      </w:r>
    </w:p>
    <w:p>
      <w:pPr>
        <w:pStyle w:val="NormalWeb"/>
        <w:numPr>
          <w:ilvl w:val="0"/>
          <w:numId w:val="3"/>
        </w:numPr>
        <w:spacing w:lineRule="auto" w:line="480" w:before="0" w:after="0"/>
        <w:jc w:val="left"/>
        <w:rPr/>
      </w:pPr>
      <w:r>
        <w:rPr>
          <w:b w:val="false"/>
          <w:bCs w:val="false"/>
          <w:iCs/>
          <w:caps w:val="false"/>
          <w:smallCaps w:val="false"/>
          <w:sz w:val="24"/>
          <w:szCs w:val="24"/>
        </w:rPr>
        <w:t>THIS COURT FURTHER ORDERS that the costs of this motion be in the appeal.</w:t>
      </w:r>
    </w:p>
    <w:p>
      <w:pPr>
        <w:pStyle w:val="NormalWeb"/>
        <w:spacing w:lineRule="auto" w:line="276" w:before="0" w:after="0"/>
        <w:jc w:val="left"/>
        <w:rPr>
          <w:rFonts w:ascii="Times New Roman" w:hAnsi="Times New Roman"/>
          <w:b w:val="false"/>
          <w:bCs w:val="false"/>
          <w:iCs/>
          <w:caps w:val="false"/>
          <w:smallCaps w:val="false"/>
          <w:sz w:val="24"/>
          <w:szCs w:val="24"/>
        </w:rPr>
      </w:pPr>
      <w:r>
        <w:rPr/>
      </w:r>
    </w:p>
    <w:p>
      <w:pPr>
        <w:pStyle w:val="NormalWeb"/>
        <w:spacing w:lineRule="auto" w:line="276" w:before="0" w:after="0"/>
        <w:jc w:val="left"/>
        <w:rPr>
          <w:rFonts w:ascii="Times New Roman" w:hAnsi="Times New Roman"/>
          <w:b w:val="false"/>
          <w:bCs w:val="false"/>
          <w:iCs/>
          <w:caps w:val="false"/>
          <w:smallCaps w:val="false"/>
          <w:sz w:val="24"/>
          <w:szCs w:val="24"/>
        </w:rPr>
      </w:pPr>
      <w:r>
        <w:rPr/>
      </w:r>
    </w:p>
    <w:p>
      <w:pPr>
        <w:pStyle w:val="NormalWeb"/>
        <w:spacing w:lineRule="auto" w:line="276" w:before="0" w:after="0"/>
        <w:jc w:val="right"/>
        <w:rPr/>
      </w:pPr>
      <w:r>
        <w:rPr>
          <w:b w:val="false"/>
          <w:bCs w:val="false"/>
          <w:iCs/>
          <w:caps w:val="false"/>
          <w:smallCaps w:val="false"/>
          <w:sz w:val="24"/>
          <w:szCs w:val="24"/>
        </w:rPr>
        <w:t>Registrar,</w:t>
      </w:r>
    </w:p>
    <w:p>
      <w:pPr>
        <w:sectPr>
          <w:type w:val="nextPage"/>
          <w:pgSz w:w="12240" w:h="15840"/>
          <w:pgMar w:left="1195" w:right="965" w:gutter="0" w:header="0" w:top="1109" w:footer="0" w:bottom="1109"/>
          <w:pgNumType w:fmt="decimal"/>
          <w:formProt w:val="false"/>
          <w:textDirection w:val="lrTb"/>
          <w:docGrid w:type="default" w:linePitch="360" w:charSpace="0"/>
        </w:sectPr>
        <w:pStyle w:val="NormalWeb"/>
        <w:spacing w:lineRule="auto" w:line="276" w:before="0" w:after="0"/>
        <w:jc w:val="right"/>
        <w:rPr/>
      </w:pPr>
      <w:r>
        <w:rPr>
          <w:b w:val="false"/>
          <w:bCs w:val="false"/>
          <w:iCs/>
          <w:caps w:val="false"/>
          <w:smallCaps w:val="false"/>
          <w:sz w:val="24"/>
          <w:szCs w:val="24"/>
        </w:rPr>
        <w:t>Court of Appeal</w:t>
      </w:r>
    </w:p>
    <w:p>
      <w:pPr>
        <w:pStyle w:val="subject-e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ubject-e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3617" w:type="dxa"/>
        <w:jc w:val="left"/>
        <w:tblInd w:w="60" w:type="dxa"/>
        <w:tblLayout w:type="fixed"/>
        <w:tblCellMar>
          <w:top w:w="0" w:type="dxa"/>
          <w:left w:w="60" w:type="dxa"/>
          <w:bottom w:w="0" w:type="dxa"/>
          <w:right w:w="60" w:type="dxa"/>
        </w:tblCellMar>
        <w:tblLook w:firstRow="0" w:noVBand="0" w:lastRow="0" w:firstColumn="0" w:lastColumn="0" w:noHBand="0" w:val="0000"/>
      </w:tblPr>
      <w:tblGrid>
        <w:gridCol w:w="6812"/>
        <w:gridCol w:w="6804"/>
      </w:tblGrid>
      <w:tr>
        <w:trPr/>
        <w:tc>
          <w:tcPr>
            <w:tcW w:w="6812" w:type="dxa"/>
            <w:tcBorders>
              <w:bottom w:val="single" w:sz="2" w:space="0" w:color="000000"/>
            </w:tcBorders>
          </w:tcPr>
          <w:p>
            <w:pPr>
              <w:pStyle w:val="table-e"/>
              <w:widowControl w:val="false"/>
              <w:spacing w:lineRule="auto" w:line="276" w:before="0" w:after="0"/>
              <w:jc w:val="center"/>
              <w:rPr/>
            </w:pPr>
            <w:r>
              <w:rPr>
                <w:iCs/>
                <w:sz w:val="24"/>
                <w:szCs w:val="24"/>
                <w:shd w:fill="FFFF00" w:val="clear"/>
              </w:rPr>
              <w:t>Title of proceeding</w:t>
            </w:r>
          </w:p>
        </w:tc>
        <w:tc>
          <w:tcPr>
            <w:tcW w:w="6804" w:type="dxa"/>
            <w:tcBorders>
              <w:bottom w:val="single" w:sz="2" w:space="0" w:color="000000"/>
            </w:tcBorders>
            <w:vAlign w:val="center"/>
          </w:tcPr>
          <w:p>
            <w:pPr>
              <w:pStyle w:val="zheadingx-e"/>
              <w:widowControl w:val="false"/>
              <w:tabs>
                <w:tab w:val="clear" w:pos="0"/>
              </w:tabs>
              <w:spacing w:lineRule="auto" w:line="276" w:before="0" w:after="0"/>
              <w:jc w:val="center"/>
              <w:rPr>
                <w:rFonts w:ascii="Times New Roman" w:hAnsi="Times New Roman"/>
                <w:iCs/>
                <w:smallCaps/>
                <w:sz w:val="24"/>
                <w:szCs w:val="24"/>
                <w:shd w:fill="FFFF00" w:val="clear"/>
              </w:rPr>
            </w:pPr>
            <w:r>
              <w:rPr/>
            </w:r>
          </w:p>
        </w:tc>
      </w:tr>
      <w:tr>
        <w:trPr/>
        <w:tc>
          <w:tcPr>
            <w:tcW w:w="6812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-e"/>
              <w:widowControl w:val="false"/>
              <w:spacing w:lineRule="auto" w:line="276" w:before="11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-e"/>
              <w:widowControl w:val="false"/>
              <w:spacing w:lineRule="auto" w:line="276" w:before="80" w:after="31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80" w:after="319"/>
              <w:jc w:val="center"/>
              <w:rPr/>
            </w:pPr>
            <w:r>
              <w:rPr>
                <w:iCs/>
                <w:sz w:val="24"/>
                <w:szCs w:val="24"/>
              </w:rPr>
              <w:t>Court of Appeal for Ontario</w:t>
            </w:r>
            <w:r>
              <w:rPr>
                <w:iCs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76" w:before="11" w:after="319"/>
              <w:jc w:val="center"/>
              <w:rPr/>
            </w:pPr>
            <w:r>
              <w:rPr>
                <w:sz w:val="24"/>
                <w:szCs w:val="24"/>
              </w:rPr>
              <w:t xml:space="preserve">PROCEEDING COMMENCED AT </w:t>
            </w:r>
            <w:r>
              <w:rPr>
                <w:sz w:val="24"/>
                <w:szCs w:val="24"/>
                <w:shd w:fill="FFFF00" w:val="clear"/>
              </w:rPr>
              <w:t>OTTAWA</w:t>
            </w: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76" w:before="11" w:after="319"/>
              <w:jc w:val="center"/>
              <w:rPr/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Notice of motion</w:t>
            </w: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76"/>
              <w:jc w:val="center"/>
              <w:rPr/>
            </w:pPr>
            <w:r>
              <w:rPr>
                <w:iCs/>
                <w:sz w:val="24"/>
                <w:szCs w:val="24"/>
              </w:rPr>
              <w:t>Adam Strombergsson-DeNora</w:t>
            </w:r>
          </w:p>
          <w:p>
            <w:pPr>
              <w:pStyle w:val="table-e"/>
              <w:widowControl w:val="false"/>
              <w:spacing w:lineRule="auto" w:line="276"/>
              <w:jc w:val="center"/>
              <w:rPr/>
            </w:pPr>
            <w:r>
              <w:rPr>
                <w:iCs/>
                <w:sz w:val="24"/>
                <w:szCs w:val="24"/>
              </w:rPr>
              <w:t>LSO 83864D</w:t>
            </w:r>
          </w:p>
          <w:p>
            <w:pPr>
              <w:pStyle w:val="table-e"/>
              <w:widowControl w:val="false"/>
              <w:spacing w:lineRule="auto" w:line="276"/>
              <w:jc w:val="center"/>
              <w:rPr/>
            </w:pPr>
            <w:r>
              <w:rPr>
                <w:iCs/>
                <w:sz w:val="24"/>
                <w:szCs w:val="24"/>
              </w:rPr>
              <w:t>P.O. Box 74035, Ottawa RPO Beechwood, Ottawa, ON K1M 2H9</w:t>
            </w:r>
          </w:p>
          <w:p>
            <w:pPr>
              <w:pStyle w:val="table-e"/>
              <w:widowControl w:val="false"/>
              <w:spacing w:lineRule="auto" w:line="276"/>
              <w:jc w:val="center"/>
              <w:rPr/>
            </w:pPr>
            <w:r>
              <w:rPr>
                <w:iCs/>
                <w:sz w:val="24"/>
                <w:szCs w:val="24"/>
              </w:rPr>
              <w:t>e. info@apstrom.ca</w:t>
            </w:r>
          </w:p>
          <w:p>
            <w:pPr>
              <w:pStyle w:val="table-e"/>
              <w:widowControl w:val="false"/>
              <w:spacing w:lineRule="auto" w:line="276"/>
              <w:jc w:val="center"/>
              <w:rPr/>
            </w:pPr>
            <w:r>
              <w:rPr>
                <w:iCs/>
                <w:sz w:val="24"/>
                <w:szCs w:val="24"/>
              </w:rPr>
              <w:t>t</w:t>
            </w:r>
            <w:r>
              <w:rPr>
                <w:iCs/>
                <w:sz w:val="24"/>
                <w:szCs w:val="24"/>
              </w:rPr>
              <w:t>. (</w:t>
            </w:r>
            <w:r>
              <w:rPr>
                <w:iCs/>
                <w:sz w:val="24"/>
                <w:szCs w:val="24"/>
              </w:rPr>
              <w:t>613</w:t>
            </w:r>
            <w:r>
              <w:rPr>
                <w:iCs/>
                <w:sz w:val="24"/>
                <w:szCs w:val="24"/>
              </w:rPr>
              <w:t xml:space="preserve">) </w:t>
            </w:r>
            <w:r>
              <w:rPr>
                <w:iCs/>
                <w:sz w:val="24"/>
                <w:szCs w:val="24"/>
              </w:rPr>
              <w:t>699</w:t>
            </w:r>
            <w:r>
              <w:rPr>
                <w:iCs/>
                <w:sz w:val="24"/>
                <w:szCs w:val="24"/>
              </w:rPr>
              <w:t>-2</w:t>
            </w:r>
            <w:r>
              <w:rPr>
                <w:iCs/>
                <w:sz w:val="24"/>
                <w:szCs w:val="24"/>
              </w:rPr>
              <w:t>127</w:t>
            </w:r>
          </w:p>
          <w:p>
            <w:pPr>
              <w:pStyle w:val="table-e"/>
              <w:widowControl w:val="false"/>
              <w:spacing w:lineRule="auto" w:line="276" w:before="11" w:after="319"/>
              <w:jc w:val="center"/>
              <w:rPr/>
            </w:pPr>
            <w:r>
              <w:rPr>
                <w:iCs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76" w:before="11" w:after="3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11" w:after="3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11" w:after="3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11" w:after="3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footnote-e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orient="landscape" w:w="15840" w:h="122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/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57"/>
      </w:pPr>
      <w:rPr/>
    </w:lvl>
    <w:lvl w:ilvl="2">
      <w:start w:val="1"/>
      <w:numFmt w:val="lowerRoman"/>
      <w:lvlText w:val="%3."/>
      <w:lvlJc w:val="left"/>
      <w:pPr>
        <w:tabs>
          <w:tab w:val="num" w:pos="1083"/>
        </w:tabs>
        <w:ind w:left="1083" w:hanging="363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363"/>
        </w:tabs>
        <w:ind w:left="363" w:hanging="363"/>
      </w:pPr>
      <w:rPr/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C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act-e" w:customStyle="1">
    <w:name w:val="a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i/>
      <w:color w:val="auto"/>
      <w:kern w:val="0"/>
      <w:sz w:val="20"/>
      <w:szCs w:val="20"/>
      <w:lang w:val="en-GB" w:eastAsia="en-US" w:bidi="ar-SA"/>
    </w:rPr>
  </w:style>
  <w:style w:type="paragraph" w:styleId="footnote-e" w:customStyle="1">
    <w:name w:val="footnote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209" w:before="111" w:after="0"/>
      <w:jc w:val="righ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form-e" w:customStyle="1">
    <w:name w:val="form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subject-e" w:customStyle="1">
    <w:name w:val="subje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table-e" w:customStyle="1">
    <w:name w:val="table-e"/>
    <w:qFormat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en-GB" w:eastAsia="en-US" w:bidi="ar-SA"/>
    </w:rPr>
  </w:style>
  <w:style w:type="paragraph" w:styleId="zc-i-ul-e" w:customStyle="1">
    <w:name w:val="zc-i-u/l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i/>
      <w:color w:val="auto"/>
      <w:kern w:val="0"/>
      <w:sz w:val="17"/>
      <w:szCs w:val="20"/>
      <w:lang w:val="en-GB" w:eastAsia="en-US" w:bidi="ar-SA"/>
    </w:rPr>
  </w:style>
  <w:style w:type="paragraph" w:styleId="zheadingx-e" w:customStyle="1">
    <w:name w:val="zheadingx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1" w:before="0" w:after="139"/>
      <w:jc w:val="center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parawtab-e" w:customStyle="1">
    <w:name w:val="zparawtab-e"/>
    <w:qFormat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fl-r-ul-e">
    <w:name w:val="zfl-r-u/l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right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between-e">
    <w:name w:val="zbetween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139"/>
      <w:jc w:val="left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and-e">
    <w:name w:val="zand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NormalWeb">
    <w:name w:val="Normal (Web)"/>
    <w:basedOn w:val="Normal"/>
    <w:qFormat/>
    <w:pPr>
      <w:spacing w:before="280" w:after="280"/>
      <w:jc w:val="left"/>
    </w:pPr>
    <w:rPr/>
  </w:style>
  <w:style w:type="paragraph" w:styleId="lowercaseheading1">
    <w:name w:val="lowercase heading 1"/>
    <w:basedOn w:val="BodyText"/>
    <w:next w:val="BodyText"/>
    <w:qFormat/>
    <w:pPr>
      <w:keepNext w:val="true"/>
    </w:pPr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LibreOffice/24.8.3.2$Windows_X86_64 LibreOffice_project/48a6bac9e7e268aeb4c3483fcf825c94556d9f92</Application>
  <AppVersion>15.0000</AppVersion>
  <Pages>6</Pages>
  <Words>529</Words>
  <Characters>2545</Characters>
  <CharactersWithSpaces>3085</CharactersWithSpaces>
  <Paragraphs>70</Paragraphs>
  <Company>Government of Ontario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Ministry of the Attorney General</cp:category>
  <dcterms:created xsi:type="dcterms:W3CDTF">2022-11-03T00:13:00Z</dcterms:created>
  <dc:creator>Civil Rules Committee</dc:creator>
  <dc:description/>
  <dc:language>en-CA</dc:language>
  <cp:lastModifiedBy/>
  <dcterms:modified xsi:type="dcterms:W3CDTF">2024-12-23T11:11:00Z</dcterms:modified>
  <cp:revision>28</cp:revision>
  <dc:subject>RCP-E 37A (July 1, 2007)</dc:subject>
  <dc:title>Form 37A Notice of Motion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