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defendant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affidavit of</w:t>
      </w:r>
      <w:r>
        <w:rPr>
          <w:rFonts w:ascii="Times New Roman" w:hAnsi="Times New Roman"/>
          <w:b/>
          <w:bCs/>
          <w:iCs/>
          <w:sz w:val="24"/>
          <w:szCs w:val="24"/>
          <w:shd w:fill="FFFF00" w:val="clear"/>
          <w14:ligatures w14:val="none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shd w:fill="FFFF00" w:val="clear"/>
          <w14:ligatures w14:val="none"/>
        </w:rPr>
        <w:t>Adam p. strombergsson-denora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Adam P. Strombergsson-DeNora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, of the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C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/>
        <w:t xml:space="preserve">solicitor for [] </w:t>
      </w:r>
      <w:r>
        <w:rPr/>
        <w:t xml:space="preserve">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 xml:space="preserve">The matter for which I represent [] is not at a critical stage. My withdrawal as a solicitor would not put [] in a position of disadvantage or peril. 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>[] has failed to make payment for legal services rendered by myself and my firm.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>The firm has made multiple requests for payment for these legal services, and I have spoken with the client regarding the importance of and need for payment in order to continue representing the client in this matter.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 xml:space="preserve">Despite these requests and discussions, the client has persisted in refusing to make full payment for the services rendered. 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3"/>
        <w:gridCol w:w="4652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LSO 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zparanoindt-e"/>
        <w:spacing w:lineRule="auto" w:line="276" w:before="0" w:after="0"/>
        <w:jc w:val="left"/>
        <w:rPr>
          <w:rFonts w:ascii="Times New Roman" w:hAnsi="Times New Roman"/>
          <w:i/>
          <w:i/>
          <w:sz w:val="24"/>
          <w:szCs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486"/>
        <w:gridCol w:w="6473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3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</w:rPr>
              <w:t>A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DAM P STROMBERGSSON-DENORA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m. (613) 699-2127</w:t>
            </w:r>
          </w:p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Application>LibreOffice/24.8.4.2$Windows_X86_64 LibreOffice_project/bb3cfa12c7b1bf994ecc5649a80400d06cd71002</Application>
  <AppVersion>15.0000</AppVersion>
  <Pages>3</Pages>
  <Words>259</Words>
  <Characters>1205</Characters>
  <CharactersWithSpaces>1429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2025-02-14T09:42:58Z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