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smallCaps/>
        </w:rPr>
      </w:pPr>
      <w:r>
        <w:rPr>
          <w:smallCaps/>
        </w:rPr>
      </w:r>
    </w:p>
    <w:p>
      <w:pPr>
        <w:pStyle w:val="zheadingx-e"/>
        <w:tabs>
          <w:tab w:val="clear" w:pos="0"/>
        </w:tabs>
        <w:spacing w:lineRule="auto" w:line="276" w:before="0" w:after="0"/>
        <w:rPr/>
      </w:pPr>
      <w:r>
        <w:rPr>
          <w:rFonts w:ascii="Times New Roman" w:hAnsi="Times New Roman"/>
          <w:smallCaps/>
          <w:sz w:val="24"/>
          <w:szCs w:val="24"/>
        </w:rPr>
        <w:t>CANADA</w:t>
        <w:br/>
        <w:t>FEDERAL COURT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i w:val="false"/>
          <w:iCs/>
          <w:sz w:val="24"/>
          <w:szCs w:val="24"/>
          <w:shd w:fill="FFFF00" w:val="clear"/>
        </w:rPr>
        <w:t>[]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moving party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i w:val="false"/>
          <w:iCs/>
          <w:sz w:val="24"/>
          <w:szCs w:val="24"/>
          <w:shd w:fill="FFFF00" w:val="clear"/>
        </w:rPr>
        <w:t>[]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responding party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notice of motion</w:t>
      </w:r>
    </w:p>
    <w:p>
      <w:pPr>
        <w:pStyle w:val="zheadingx-e"/>
        <w:tabs>
          <w:tab w:val="clear" w:pos="0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ascii="Times New Roman" w:hAnsi="Times New Roman"/>
          <w:i/>
          <w:iCs/>
          <w:sz w:val="24"/>
          <w:szCs w:val="24"/>
          <w:shd w:fill="FFFF00" w:val="clear"/>
        </w:rPr>
        <w:t>[Briefly describe the motion]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76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The </w:t>
      </w:r>
      <w:r>
        <w:rPr>
          <w:rFonts w:ascii="Times New Roman" w:hAnsi="Times New Roman"/>
          <w:iCs/>
          <w:sz w:val="24"/>
          <w:szCs w:val="24"/>
        </w:rPr>
        <w:t>moving party</w:t>
      </w:r>
      <w:r>
        <w:rPr>
          <w:rFonts w:ascii="Times New Roman" w:hAnsi="Times New Roman"/>
          <w:sz w:val="24"/>
          <w:szCs w:val="24"/>
        </w:rPr>
        <w:t xml:space="preserve"> will make a motion pursuant to s. 8(2) of the Federal Court Rules (SOR/98-106) to the  Federal Court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  <w:shd w:fill="FFFF00" w:val="clear"/>
        </w:rPr>
        <w:t>XXXX</w:t>
      </w:r>
      <w:r>
        <w:rPr>
          <w:rFonts w:ascii="Times New Roman" w:hAnsi="Times New Roman"/>
          <w:sz w:val="24"/>
          <w:szCs w:val="24"/>
        </w:rPr>
        <w:t xml:space="preserve">, at 9:30am or soon after that time as the motion can be heard. </w:t>
      </w:r>
      <w:r>
        <w:rPr>
          <w:rFonts w:ascii="Times New Roman" w:hAnsi="Times New Roman"/>
          <w:sz w:val="24"/>
          <w:szCs w:val="24"/>
          <w:lang w:val="en-CA"/>
        </w:rPr>
        <w:t xml:space="preserve">The </w:t>
      </w:r>
      <w:r>
        <w:rPr>
          <w:rFonts w:ascii="Times New Roman" w:hAnsi="Times New Roman"/>
          <w:sz w:val="24"/>
          <w:szCs w:val="24"/>
        </w:rPr>
        <w:t>motion shall be held in the City of Ottawa, in the English language. The motion is to be heard by videoconference because it is two hours or less.</w:t>
      </w:r>
    </w:p>
    <w:p>
      <w:pPr>
        <w:pStyle w:val="western"/>
        <w:spacing w:lineRule="auto" w:line="276" w:before="280" w:after="280"/>
        <w:rPr/>
      </w:pPr>
      <w:r>
        <w:rPr/>
        <w:t xml:space="preserve">PROPOSED METHOD OF HEARING: The motion is to be heard </w:t>
      </w:r>
    </w:p>
    <w:p>
      <w:pPr>
        <w:pStyle w:val="NormalWeb"/>
        <w:spacing w:lineRule="auto" w:line="276" w:before="280" w:after="280"/>
        <w:rPr>
          <w:lang w:val="en-GB"/>
        </w:rPr>
      </w:pPr>
      <w:r>
        <w:rPr>
          <w:lang w:val="en-GB"/>
        </w:rPr>
        <w:t xml:space="preserve">□ </w:t>
      </w:r>
      <w:r>
        <w:rPr>
          <w:lang w:val="en-US"/>
        </w:rPr>
        <w:t xml:space="preserve">in writing under </w:t>
      </w:r>
      <w:r>
        <w:rPr/>
        <w:t xml:space="preserve">s.369(2) of the Federal Court Rules (SOR/98-106); </w:t>
      </w:r>
    </w:p>
    <w:p>
      <w:pPr>
        <w:pStyle w:val="NormalWeb"/>
        <w:spacing w:lineRule="auto" w:line="276" w:before="0" w:after="280"/>
        <w:rPr>
          <w:lang w:val="en-U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15875</wp:posOffset>
            </wp:positionH>
            <wp:positionV relativeFrom="paragraph">
              <wp:posOffset>78105</wp:posOffset>
            </wp:positionV>
            <wp:extent cx="63500" cy="71755"/>
            <wp:effectExtent l="0" t="0" r="0" b="0"/>
            <wp:wrapNone/>
            <wp:docPr id="1" name="In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k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7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15875</wp:posOffset>
            </wp:positionH>
            <wp:positionV relativeFrom="paragraph">
              <wp:posOffset>85725</wp:posOffset>
            </wp:positionV>
            <wp:extent cx="65405" cy="44450"/>
            <wp:effectExtent l="0" t="0" r="0" b="0"/>
            <wp:wrapNone/>
            <wp:docPr id="2" name="In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k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GB"/>
        </w:rPr>
        <w:t xml:space="preserve">□ </w:t>
      </w:r>
      <w:r>
        <w:rPr>
          <w:lang w:val="en-US"/>
        </w:rPr>
        <w:t>orally.</w:t>
      </w:r>
    </w:p>
    <w:p>
      <w:pPr>
        <w:pStyle w:val="zparawtab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MOTION IS FOR </w:t>
      </w:r>
      <w:r>
        <w:rPr>
          <w:rFonts w:ascii="Times New Roman" w:hAnsi="Times New Roman"/>
          <w:sz w:val="24"/>
          <w:szCs w:val="24"/>
          <w:shd w:fill="FFFF00" w:val="clear"/>
        </w:rPr>
        <w:t xml:space="preserve">[insert </w:t>
      </w:r>
      <w:r>
        <w:rPr>
          <w:rFonts w:ascii="Times New Roman" w:hAnsi="Times New Roman"/>
          <w:sz w:val="24"/>
          <w:szCs w:val="24"/>
          <w:shd w:fill="FFFF00" w:val="clear"/>
        </w:rPr>
        <w:t>relief sought</w:t>
      </w:r>
      <w:r>
        <w:rPr>
          <w:rFonts w:ascii="Times New Roman" w:hAnsi="Times New Roman"/>
          <w:sz w:val="24"/>
          <w:szCs w:val="24"/>
          <w:shd w:fill="FFFF00" w:val="clear"/>
        </w:rPr>
        <w:t>.]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GROUNDS FOR THE MOTION ARE: </w:t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</w:rPr>
      </w:pPr>
      <w:r>
        <w:rPr/>
      </w:r>
    </w:p>
    <w:p>
      <w:pPr>
        <w:pStyle w:val="zparawtab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wtab-e"/>
        <w:tabs>
          <w:tab w:val="clear" w:pos="239"/>
          <w:tab w:val="clear" w:pos="279"/>
          <w:tab w:val="right" w:pos="9288" w:leader="none"/>
        </w:tabs>
        <w:spacing w:lineRule="auto" w:line="240" w:before="0" w:after="0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THE FOLLOWING DOCUMENTARY EVIDENCE will be used at the hearing of the motion: </w:t>
        <w:tab/>
      </w:r>
    </w:p>
    <w:p>
      <w:pPr>
        <w:pStyle w:val="zparawtab-e"/>
        <w:tabs>
          <w:tab w:val="right" w:pos="239" w:leader="none"/>
          <w:tab w:val="left" w:pos="279" w:leader="none"/>
          <w:tab w:val="right" w:pos="9288" w:leader="none"/>
        </w:tabs>
        <w:spacing w:lineRule="auto" w:line="240"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the affidavit of </w:t>
      </w:r>
      <w:r>
        <w:rPr>
          <w:rFonts w:cs="Times New Roman" w:ascii="Times New Roman" w:hAnsi="Times New Roman"/>
          <w:b w:val="false"/>
          <w:bCs w:val="false"/>
          <w:shd w:fill="FFFF00" w:val="clear"/>
        </w:rPr>
        <w:t>[]</w:t>
      </w:r>
      <w:r>
        <w:rPr>
          <w:rFonts w:cs="Times New Roman" w:ascii="Times New Roman" w:hAnsi="Times New Roman"/>
          <w:b w:val="false"/>
          <w:bCs w:val="false"/>
        </w:rPr>
        <w:t>.</w:t>
      </w:r>
    </w:p>
    <w:p>
      <w:pPr>
        <w:pStyle w:val="ListParagraph"/>
        <w:numPr>
          <w:ilvl w:val="0"/>
          <w:numId w:val="0"/>
        </w:numPr>
        <w:ind w:hanging="0" w:left="363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ListParagraph"/>
        <w:widowControl/>
        <w:suppressAutoHyphens w:val="false"/>
        <w:bidi w:val="0"/>
        <w:spacing w:lineRule="auto" w:line="278" w:before="0" w:after="160"/>
        <w:ind w:hanging="0" w:left="0" w:right="0"/>
        <w:contextualSpacing/>
        <w:jc w:val="left"/>
        <w:rPr>
          <w:rFonts w:ascii="Times New Roman" w:hAnsi="Times New Roman" w:cs="Times New Roman"/>
          <w:b/>
          <w:bCs/>
        </w:rPr>
      </w:pPr>
      <w:r>
        <w:rPr/>
        <w:tab/>
        <w:tab/>
        <w:tab/>
        <w:tab/>
        <w:tab/>
        <w:tab/>
        <w:tab/>
        <w:tab/>
        <w:t>___________________________________</w:t>
      </w:r>
    </w:p>
    <w:p>
      <w:pPr>
        <w:pStyle w:val="Normal"/>
        <w:spacing w:lineRule="auto" w:line="276"/>
        <w:ind w:hanging="0" w:left="-5"/>
        <w:jc w:val="left"/>
        <w:rPr/>
      </w:pPr>
      <w:r>
        <w:rPr>
          <w:b/>
          <w:bCs/>
        </w:rPr>
        <w:tab/>
        <w:tab/>
        <w:tab/>
        <w:tab/>
        <w:tab/>
        <w:tab/>
        <w:tab/>
        <w:tab/>
        <w:tab/>
        <w:t>Adam P. Strömbergsson-DeNora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LSO 83864D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t. 613 699 2127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/>
        <w:ind w:hanging="0" w:left="-5"/>
        <w:jc w:val="lef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ab/>
        <w:t>A.P.Strom and Associates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 xml:space="preserve">735 – 1 Rideau St. 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Ottawa, ON.</w:t>
      </w:r>
    </w:p>
    <w:p>
      <w:pPr>
        <w:pStyle w:val="Normal"/>
        <w:spacing w:lineRule="auto" w:line="276"/>
        <w:ind w:hanging="0" w:left="-5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K1N 8S7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lang w:val="en-GB"/>
        </w:rPr>
        <w:tab/>
        <w:tab/>
        <w:tab/>
        <w:tab/>
        <w:tab/>
        <w:tab/>
        <w:tab/>
        <w:tab/>
        <w:t xml:space="preserve">e. </w:t>
      </w:r>
      <w:hyperlink r:id="rId4">
        <w:r>
          <w:rPr>
            <w:rStyle w:val="Hyperlink"/>
            <w:lang w:val="en-GB"/>
          </w:rPr>
          <w:t>federalcourt@apstrom.ca</w:t>
        </w:r>
      </w:hyperlink>
    </w:p>
    <w:p>
      <w:pPr>
        <w:pStyle w:val="NormalWeb"/>
        <w:spacing w:beforeAutospacing="0" w:before="0" w:afterAutospacing="0" w:after="0"/>
        <w:jc w:val="left"/>
        <w:rPr>
          <w:lang w:val="en-GB"/>
        </w:rPr>
      </w:pPr>
      <w:r>
        <w:rPr>
          <w:lang w:val="en-GB"/>
        </w:rPr>
      </w:r>
    </w:p>
    <w:p>
      <w:pPr>
        <w:pStyle w:val="NormalWeb"/>
        <w:spacing w:beforeAutospacing="0" w:before="0" w:afterAutospacing="0" w:after="0"/>
        <w:jc w:val="left"/>
        <w:rPr>
          <w:i/>
          <w:i/>
          <w:iCs/>
          <w:lang w:val="en-GB"/>
        </w:rPr>
      </w:pPr>
      <w:r>
        <w:rPr>
          <w:i/>
          <w:iCs/>
          <w:lang w:val="en-GB"/>
        </w:rPr>
        <w:tab/>
        <w:tab/>
        <w:tab/>
        <w:tab/>
        <w:tab/>
        <w:tab/>
        <w:tab/>
        <w:tab/>
        <w:t>Counsel to the moving party</w:t>
      </w:r>
    </w:p>
    <w:p>
      <w:pPr>
        <w:pStyle w:val="Normal"/>
        <w:spacing w:lineRule="auto" w:line="276"/>
        <w:ind w:firstLine="725" w:left="-5"/>
        <w:jc w:val="right"/>
        <w:rPr/>
      </w:pPr>
      <w:r>
        <w:rPr/>
      </w:r>
    </w:p>
    <w:p>
      <w:pPr>
        <w:pStyle w:val="Heading2"/>
        <w:shd w:val="clear" w:color="auto" w:fill="FFFFFF"/>
        <w:spacing w:lineRule="auto" w:line="240" w:before="570" w:after="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TO  </w:t>
      </w:r>
    </w:p>
    <w:p>
      <w:pPr>
        <w:pStyle w:val="Heading2"/>
        <w:shd w:val="clear" w:color="auto" w:fill="FFFFFF"/>
        <w:spacing w:lineRule="auto" w:line="240" w:before="570" w:after="0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kern w:val="0"/>
          <w:sz w:val="24"/>
          <w:szCs w:val="24"/>
          <w14:ligatures w14:val="none"/>
        </w:rPr>
        <w:t>Civil Litigation Section</w:t>
      </w:r>
      <w:r>
        <w:rPr>
          <w:rFonts w:eastAsia="Times New Roman" w:cs="Times New Roman" w:ascii="Times New Roman" w:hAnsi="Times New Roman"/>
          <w:color w:themeColor="text1" w:val="000000"/>
          <w:kern w:val="0"/>
          <w:sz w:val="24"/>
          <w:szCs w:val="24"/>
          <w14:ligatures w14:val="none"/>
        </w:rPr>
        <w:br/>
        <w:t>Department of Justice Canada</w:t>
        <w:br/>
        <w:t>50 O’Connor Street, 5th Floor</w:t>
        <w:br/>
        <w:t>Ottawa, Ontario K1A 0H8</w:t>
      </w:r>
    </w:p>
    <w:p>
      <w:pPr>
        <w:pStyle w:val="Normal"/>
        <w:shd w:val="clear" w:color="auto" w:fill="FFFFFF"/>
        <w:rPr>
          <w:color w:themeColor="text1" w:val="000000"/>
        </w:rPr>
      </w:pPr>
      <w:r>
        <w:rPr>
          <w:color w:themeColor="text1" w:val="000000"/>
        </w:rPr>
        <w:t>Telephone: 613-670-6214</w:t>
        <w:br/>
        <w:t>Fax: 613-954-1920</w:t>
        <w:br/>
        <w:t>Email: </w:t>
      </w:r>
      <w:hyperlink r:id="rId5">
        <w:r>
          <w:rPr>
            <w:rStyle w:val="Hyperlink"/>
            <w:color w:themeColor="text1" w:val="000000"/>
            <w:u w:val="single"/>
          </w:rPr>
          <w:t>AGC_PGC_OTTAWA@JUSTICE.GC.CA</w:t>
        </w:r>
      </w:hyperlink>
    </w:p>
    <w:p>
      <w:pPr>
        <w:pStyle w:val="Normal"/>
        <w:shd w:val="clear" w:color="auto" w:fill="FFFFFF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rPr>
          <w:i/>
          <w:i/>
          <w:iCs/>
          <w:color w:themeColor="text1" w:val="000000"/>
          <w:u w:val="none"/>
        </w:rPr>
      </w:pPr>
      <w:r>
        <w:rPr>
          <w:i/>
          <w:iCs/>
          <w:color w:themeColor="text1" w:val="000000"/>
          <w:u w:val="none"/>
        </w:rPr>
        <w:t>Counsel to the responding party</w:t>
      </w:r>
    </w:p>
    <w:p>
      <w:pPr>
        <w:pStyle w:val="Normal"/>
        <w:tabs>
          <w:tab w:val="clear" w:pos="720"/>
          <w:tab w:val="center" w:pos="2460" w:leader="none"/>
        </w:tabs>
        <w:ind w:left="-15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sectPr>
      <w:type w:val="nextPage"/>
      <w:pgSz w:w="12240" w:h="15840"/>
      <w:pgMar w:left="1195" w:right="965" w:gutter="0" w:header="0" w:top="1109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18"/>
    <w:pPr>
      <w:keepNext w:val="true"/>
      <w:keepLines/>
      <w:suppressAutoHyphens w:val="false"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ab3f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ab3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3f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0ce0"/>
    <w:rPr>
      <w:i/>
      <w:iCs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western" w:customStyle="1">
    <w:name w:val="western"/>
    <w:basedOn w:val="Normal"/>
    <w:qFormat/>
    <w:rsid w:val="00f65897"/>
    <w:pPr>
      <w:suppressAutoHyphens w:val="false"/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f65897"/>
    <w:pPr>
      <w:suppressAutoHyphens w:val="false"/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65897"/>
    <w:pPr>
      <w:suppressAutoHyphens w:val="false"/>
      <w:spacing w:lineRule="auto" w:line="278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federalcourt@apstrom.ca" TargetMode="External"/><Relationship Id="rId5" Type="http://schemas.openxmlformats.org/officeDocument/2006/relationships/hyperlink" Target="mailto:AGC_PGC_OTTAWA@JUSTICE.GC.CA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LibreOffice/25.2.2.2$Linux_X86_64 LibreOffice_project/520$Build-2</Application>
  <AppVersion>15.0000</AppVersion>
  <Pages>2</Pages>
  <Words>200</Words>
  <Characters>1005</Characters>
  <CharactersWithSpaces>1272</CharactersWithSpaces>
  <Paragraphs>32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2025-07-25T20:11:00Z</dcterms:created>
  <dc:creator>Civil Rules Committee</dc:creator>
  <dc:description/>
  <dc:language>en-CA</dc:language>
  <cp:lastModifiedBy>Adam Strömbergsson-DeNora</cp:lastModifiedBy>
  <dcterms:modified xsi:type="dcterms:W3CDTF">2025-10-02T16:00:40Z</dcterms:modified>
  <cp:revision>13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