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ingx-e"/>
        <w:tabs>
          <w:tab w:val="clear" w:pos="0"/>
        </w:tabs>
        <w:spacing w:lineRule="auto" w:line="276" w:before="0" w:after="0"/>
        <w:jc w:val="right"/>
        <w:rPr>
          <w:rFonts w:ascii="Times New Roman" w:hAnsi="Times New Roman"/>
          <w:sz w:val="24"/>
          <w:szCs w:val="24"/>
        </w:rPr>
      </w:pPr>
      <w:r>
        <w:rPr>
          <w:rFonts w:ascii="Times New Roman" w:hAnsi="Times New Roman"/>
          <w:b w:val="false"/>
          <w:bCs w:val="false"/>
          <w:sz w:val="24"/>
          <w:szCs w:val="24"/>
        </w:rPr>
      </w:r>
    </w:p>
    <w:p>
      <w:pPr>
        <w:pStyle w:val="Heading1"/>
        <w:spacing w:lineRule="auto" w:line="276" w:before="0" w:after="0"/>
        <w:ind w:hanging="0" w:left="0"/>
        <w:jc w:val="center"/>
        <w:rPr>
          <w:rFonts w:ascii="Times New Roman" w:hAnsi="Times New Roman"/>
          <w:sz w:val="24"/>
          <w:szCs w:val="24"/>
        </w:rPr>
      </w:pPr>
      <w:r>
        <w:rPr>
          <w:b w:val="false"/>
          <w:bCs w:val="false"/>
          <w:sz w:val="24"/>
          <w:szCs w:val="24"/>
        </w:rPr>
        <w:t>ONTARIO</w:t>
      </w:r>
    </w:p>
    <w:p>
      <w:pPr>
        <w:pStyle w:val="Heading1"/>
        <w:spacing w:lineRule="auto" w:line="276" w:before="0" w:after="0"/>
        <w:ind w:hanging="0" w:left="0"/>
        <w:jc w:val="center"/>
        <w:rPr>
          <w:rFonts w:ascii="Times New Roman" w:hAnsi="Times New Roman"/>
          <w:sz w:val="24"/>
          <w:szCs w:val="24"/>
        </w:rPr>
      </w:pPr>
      <w:r>
        <w:rPr>
          <w:b w:val="false"/>
          <w:bCs w:val="false"/>
          <w:sz w:val="24"/>
          <w:szCs w:val="24"/>
        </w:rPr>
        <w:t>SUPERIOR COURT OF JUSTICE</w:t>
      </w:r>
    </w:p>
    <w:p>
      <w:pPr>
        <w:pStyle w:val="Normal"/>
        <w:spacing w:lineRule="auto" w:line="276" w:before="0" w:after="0"/>
        <w:jc w:val="center"/>
        <w:rPr>
          <w:rFonts w:ascii="Times New Roman" w:hAnsi="Times New Roman"/>
          <w:sz w:val="24"/>
          <w:szCs w:val="24"/>
        </w:rPr>
      </w:pPr>
      <w:r>
        <w:rPr>
          <w:sz w:val="24"/>
          <w:szCs w:val="24"/>
        </w:rPr>
      </w:r>
    </w:p>
    <w:p>
      <w:pPr>
        <w:pStyle w:val="Normal"/>
        <w:spacing w:lineRule="auto" w:line="276" w:before="0" w:after="0"/>
        <w:rPr>
          <w:rFonts w:ascii="Times New Roman" w:hAnsi="Times New Roman"/>
          <w:sz w:val="24"/>
          <w:szCs w:val="24"/>
        </w:rPr>
      </w:pPr>
      <w:r>
        <w:rPr>
          <w:sz w:val="24"/>
          <w:szCs w:val="24"/>
        </w:rPr>
        <w:t>B E T W E E N:</w:t>
      </w:r>
    </w:p>
    <w:p>
      <w:pPr>
        <w:pStyle w:val="Normal"/>
        <w:spacing w:lineRule="auto" w:line="276" w:before="0" w:after="0"/>
        <w:rPr>
          <w:rFonts w:ascii="Times New Roman" w:hAnsi="Times New Roman"/>
          <w:sz w:val="24"/>
          <w:szCs w:val="24"/>
        </w:rPr>
      </w:pPr>
      <w:r>
        <w:rPr>
          <w:sz w:val="24"/>
          <w:szCs w:val="24"/>
        </w:rPr>
      </w:r>
    </w:p>
    <w:p>
      <w:pPr>
        <w:pStyle w:val="zc-i-ul-e"/>
        <w:spacing w:lineRule="auto" w:line="276" w:before="0" w:after="0"/>
        <w:rPr>
          <w:rFonts w:ascii="Times New Roman" w:hAnsi="Times New Roman"/>
          <w:b w:val="false"/>
          <w:bCs w:val="false"/>
          <w:sz w:val="24"/>
          <w:szCs w:val="24"/>
        </w:rPr>
      </w:pPr>
      <w:r>
        <w:rPr/>
      </w:r>
    </w:p>
    <w:p>
      <w:pPr>
        <w:pStyle w:val="Normal"/>
        <w:spacing w:lineRule="auto" w:line="276" w:before="0" w:after="0"/>
        <w:jc w:val="right"/>
        <w:rPr>
          <w:rFonts w:ascii="Times New Roman" w:hAnsi="Times New Roman"/>
          <w:sz w:val="24"/>
          <w:szCs w:val="24"/>
        </w:rPr>
      </w:pPr>
      <w:r>
        <w:rPr>
          <w:sz w:val="24"/>
          <w:szCs w:val="24"/>
        </w:rPr>
        <w:t>plaintiff</w:t>
      </w:r>
    </w:p>
    <w:p>
      <w:pPr>
        <w:pStyle w:val="Normal"/>
        <w:spacing w:lineRule="auto" w:line="276" w:before="0" w:after="0"/>
        <w:jc w:val="center"/>
        <w:rPr>
          <w:rFonts w:ascii="Times New Roman" w:hAnsi="Times New Roman"/>
          <w:sz w:val="24"/>
          <w:szCs w:val="24"/>
        </w:rPr>
      </w:pPr>
      <w:r>
        <w:rPr>
          <w:sz w:val="24"/>
          <w:szCs w:val="24"/>
        </w:rPr>
      </w:r>
    </w:p>
    <w:p>
      <w:pPr>
        <w:pStyle w:val="Normal"/>
        <w:spacing w:lineRule="auto" w:line="276" w:before="0" w:after="0"/>
        <w:jc w:val="center"/>
        <w:rPr>
          <w:rFonts w:ascii="Times New Roman" w:hAnsi="Times New Roman"/>
          <w:sz w:val="24"/>
          <w:szCs w:val="24"/>
        </w:rPr>
      </w:pPr>
      <w:r>
        <w:rPr>
          <w:sz w:val="24"/>
          <w:szCs w:val="24"/>
        </w:rPr>
        <w:t>- and -</w:t>
      </w:r>
    </w:p>
    <w:p>
      <w:pPr>
        <w:pStyle w:val="Normal"/>
        <w:spacing w:lineRule="auto" w:line="276" w:before="0" w:after="0"/>
        <w:rPr>
          <w:rFonts w:ascii="Times New Roman" w:hAnsi="Times New Roman"/>
          <w:sz w:val="24"/>
          <w:szCs w:val="24"/>
        </w:rPr>
      </w:pPr>
      <w:r>
        <w:rPr>
          <w:sz w:val="24"/>
          <w:szCs w:val="24"/>
        </w:rPr>
      </w:r>
    </w:p>
    <w:p>
      <w:pPr>
        <w:pStyle w:val="zc-i-ul-e"/>
        <w:spacing w:lineRule="auto" w:line="276" w:before="0" w:after="0"/>
        <w:rPr>
          <w:rFonts w:ascii="Times New Roman" w:hAnsi="Times New Roman"/>
          <w:b w:val="false"/>
          <w:bCs w:val="false"/>
          <w:sz w:val="24"/>
          <w:szCs w:val="24"/>
        </w:rPr>
      </w:pPr>
      <w:r>
        <w:rPr/>
      </w:r>
    </w:p>
    <w:p>
      <w:pPr>
        <w:pStyle w:val="Normal"/>
        <w:spacing w:lineRule="auto" w:line="276" w:before="0" w:after="0"/>
        <w:jc w:val="right"/>
        <w:rPr>
          <w:rFonts w:ascii="Times New Roman" w:hAnsi="Times New Roman"/>
          <w:sz w:val="24"/>
          <w:szCs w:val="24"/>
        </w:rPr>
      </w:pPr>
      <w:r>
        <w:rPr>
          <w:sz w:val="24"/>
          <w:szCs w:val="24"/>
        </w:rPr>
        <w:t>defendants</w:t>
      </w:r>
    </w:p>
    <w:p>
      <w:pPr>
        <w:pStyle w:val="Normal"/>
        <w:spacing w:lineRule="auto" w:line="276" w:before="0" w:after="0"/>
        <w:jc w:val="right"/>
        <w:rPr>
          <w:rFonts w:ascii="Times New Roman" w:hAnsi="Times New Roman"/>
          <w:sz w:val="24"/>
          <w:szCs w:val="24"/>
        </w:rPr>
      </w:pPr>
      <w:r>
        <w:rPr/>
      </w:r>
    </w:p>
    <w:p>
      <w:pPr>
        <w:pStyle w:val="zparawtab-e"/>
        <w:keepNext w:val="false"/>
        <w:keepLines w:val="false"/>
        <w:widowControl w:val="false"/>
        <w:tabs>
          <w:tab w:val="clear" w:pos="239"/>
          <w:tab w:val="clear" w:pos="279"/>
        </w:tabs>
        <w:suppressAutoHyphens w:val="true"/>
        <w:spacing w:lineRule="auto" w:line="288" w:before="0" w:after="0"/>
        <w:jc w:val="center"/>
        <w:rPr>
          <w:b/>
          <w:bCs/>
          <w:sz w:val="24"/>
          <w:szCs w:val="24"/>
        </w:rPr>
      </w:pPr>
      <w:r>
        <w:rPr>
          <w:b/>
          <w:bCs/>
          <w:sz w:val="24"/>
          <w:szCs w:val="24"/>
        </w:rPr>
        <w:t>FACTUM</w:t>
      </w:r>
    </w:p>
    <w:p>
      <w:pPr>
        <w:pStyle w:val="zparawtab-e"/>
        <w:widowControl w:val="false"/>
        <w:tabs>
          <w:tab w:val="clear" w:pos="239"/>
          <w:tab w:val="clear" w:pos="279"/>
        </w:tabs>
        <w:suppressAutoHyphens w:val="true"/>
        <w:spacing w:lineRule="auto" w:line="288" w:before="0" w:after="0"/>
        <w:jc w:val="center"/>
        <w:rPr>
          <w:b/>
          <w:bCs/>
          <w:sz w:val="24"/>
          <w:szCs w:val="24"/>
        </w:rPr>
      </w:pPr>
      <w:r>
        <w:rPr>
          <w:b/>
          <w:bCs/>
          <w:sz w:val="24"/>
          <w:szCs w:val="24"/>
        </w:rPr>
      </w:r>
    </w:p>
    <w:p>
      <w:pPr>
        <w:pStyle w:val="zparawtab-e"/>
        <w:keepNext w:val="false"/>
        <w:keepLines w:val="false"/>
        <w:widowControl w:val="false"/>
        <w:tabs>
          <w:tab w:val="clear" w:pos="239"/>
          <w:tab w:val="clear" w:pos="279"/>
        </w:tabs>
        <w:suppressAutoHyphens w:val="true"/>
        <w:spacing w:lineRule="auto" w:line="480" w:before="0" w:after="0"/>
        <w:jc w:val="left"/>
        <w:rPr>
          <w:rFonts w:ascii="Times New Roman" w:hAnsi="Times New Roman"/>
          <w:b/>
          <w:bCs/>
          <w:sz w:val="24"/>
          <w:szCs w:val="24"/>
        </w:rPr>
      </w:pPr>
      <w:r>
        <w:rPr>
          <w:rFonts w:ascii="Times New Roman" w:hAnsi="Times New Roman"/>
          <w:b/>
          <w:bCs/>
          <w:sz w:val="24"/>
          <w:szCs w:val="24"/>
        </w:rPr>
        <w:t xml:space="preserve">PART I – OVERVIEW </w:t>
      </w:r>
    </w:p>
    <w:p>
      <w:pPr>
        <w:pStyle w:val="Normal"/>
        <w:keepNext w:val="false"/>
        <w:keepLines w:val="false"/>
        <w:widowControl w:val="false"/>
        <w:numPr>
          <w:ilvl w:val="0"/>
          <w:numId w:val="3"/>
        </w:numPr>
        <w:suppressAutoHyphens w:val="true"/>
        <w:spacing w:lineRule="auto" w:line="480"/>
        <w:rPr/>
      </w:pPr>
      <w:r>
        <w:rPr/>
      </w:r>
    </w:p>
    <w:p>
      <w:pPr>
        <w:pStyle w:val="Normal"/>
        <w:keepNext w:val="false"/>
        <w:keepLines w:val="false"/>
        <w:widowControl w:val="false"/>
        <w:suppressAutoHyphens w:val="true"/>
        <w:spacing w:lineRule="auto" w:line="480"/>
        <w:rPr>
          <w:b/>
          <w:bCs/>
        </w:rPr>
      </w:pPr>
      <w:r>
        <w:rPr>
          <w:b/>
          <w:bCs/>
        </w:rPr>
        <w:t xml:space="preserve">PART II – FACTS </w:t>
      </w:r>
    </w:p>
    <w:p>
      <w:pPr>
        <w:pStyle w:val="Normal"/>
        <w:keepNext w:val="false"/>
        <w:keepLines w:val="false"/>
        <w:widowControl w:val="false"/>
        <w:numPr>
          <w:ilvl w:val="0"/>
          <w:numId w:val="3"/>
        </w:numPr>
        <w:suppressAutoHyphens w:val="true"/>
        <w:spacing w:lineRule="auto" w:line="480"/>
        <w:rPr/>
      </w:pPr>
      <w:r>
        <w:rPr/>
      </w:r>
    </w:p>
    <w:p>
      <w:pPr>
        <w:pStyle w:val="Normal"/>
        <w:keepNext w:val="false"/>
        <w:keepLines w:val="false"/>
        <w:widowControl w:val="false"/>
        <w:suppressAutoHyphens w:val="true"/>
        <w:spacing w:lineRule="auto" w:line="480"/>
        <w:rPr>
          <w:b/>
          <w:bCs/>
        </w:rPr>
      </w:pPr>
      <w:r>
        <w:rPr>
          <w:b/>
          <w:bCs/>
        </w:rPr>
        <w:t xml:space="preserve">PART III – ISSUES </w:t>
      </w:r>
    </w:p>
    <w:p>
      <w:pPr>
        <w:pStyle w:val="Normal"/>
        <w:keepNext w:val="false"/>
        <w:keepLines w:val="false"/>
        <w:widowControl w:val="false"/>
        <w:numPr>
          <w:ilvl w:val="0"/>
          <w:numId w:val="3"/>
        </w:numPr>
        <w:suppressAutoHyphens w:val="true"/>
        <w:spacing w:lineRule="auto" w:line="480"/>
        <w:rPr/>
      </w:pPr>
      <w:r>
        <w:rPr/>
        <w:t>The issues that arise on this motion are:</w:t>
      </w:r>
    </w:p>
    <w:p>
      <w:pPr>
        <w:pStyle w:val="Normal"/>
        <w:keepNext w:val="false"/>
        <w:keepLines w:val="false"/>
        <w:widowControl w:val="false"/>
        <w:numPr>
          <w:ilvl w:val="1"/>
          <w:numId w:val="3"/>
        </w:numPr>
        <w:suppressAutoHyphens w:val="true"/>
        <w:spacing w:lineRule="auto" w:line="480"/>
        <w:rPr/>
      </w:pPr>
      <w:r>
        <w:rPr/>
        <w:t xml:space="preserve">should a Mareva injunction be </w:t>
      </w:r>
      <w:r>
        <w:rPr/>
        <w:t>issued against the defendants</w:t>
      </w:r>
      <w:r>
        <w:rPr/>
        <w:t>;</w:t>
      </w:r>
    </w:p>
    <w:p>
      <w:pPr>
        <w:pStyle w:val="Normal"/>
        <w:keepNext w:val="false"/>
        <w:keepLines w:val="false"/>
        <w:widowControl w:val="false"/>
        <w:numPr>
          <w:ilvl w:val="1"/>
          <w:numId w:val="3"/>
        </w:numPr>
        <w:suppressAutoHyphens w:val="true"/>
        <w:spacing w:lineRule="auto" w:line="480"/>
        <w:rPr/>
      </w:pPr>
      <w:r>
        <w:rPr/>
        <w:t>if a Mareva injunction issues, what are the terms of this injunction;</w:t>
      </w:r>
    </w:p>
    <w:p>
      <w:pPr>
        <w:pStyle w:val="Normal"/>
        <w:keepNext w:val="false"/>
        <w:keepLines w:val="false"/>
        <w:widowControl w:val="false"/>
        <w:numPr>
          <w:ilvl w:val="1"/>
          <w:numId w:val="3"/>
        </w:numPr>
        <w:suppressAutoHyphens w:val="true"/>
        <w:spacing w:lineRule="auto" w:line="480"/>
        <w:rPr/>
      </w:pPr>
      <w:r>
        <w:rPr/>
        <w:t xml:space="preserve">should a Norwich order issue to all financial institutions to require disclosure of </w:t>
      </w:r>
      <w:r>
        <w:rPr/>
        <w:t>the defendants</w:t>
      </w:r>
      <w:r>
        <w:rPr/>
        <w:t xml:space="preserve">’ transaction histories </w:t>
      </w:r>
      <w:r>
        <w:rPr/>
        <w:t>and a tracing of the plaintiff’s funds</w:t>
      </w:r>
      <w:r>
        <w:rPr/>
        <w:t>?</w:t>
      </w:r>
    </w:p>
    <w:p>
      <w:pPr>
        <w:pStyle w:val="Normal"/>
        <w:keepNext w:val="false"/>
        <w:keepLines w:val="false"/>
        <w:widowControl w:val="false"/>
        <w:suppressAutoHyphens w:val="true"/>
        <w:spacing w:lineRule="auto" w:line="480"/>
        <w:rPr>
          <w:b/>
          <w:bCs/>
        </w:rPr>
      </w:pPr>
      <w:r>
        <w:rPr>
          <w:b/>
          <w:bCs/>
        </w:rPr>
        <w:t>PART IV – LAW AND ARGUMENT</w:t>
      </w:r>
    </w:p>
    <w:p>
      <w:pPr>
        <w:pStyle w:val="Normal"/>
        <w:keepNext w:val="false"/>
        <w:keepLines w:val="false"/>
        <w:widowControl w:val="false"/>
        <w:numPr>
          <w:ilvl w:val="0"/>
          <w:numId w:val="3"/>
        </w:numPr>
        <w:suppressAutoHyphens w:val="true"/>
        <w:spacing w:lineRule="auto" w:line="480"/>
        <w:rPr/>
      </w:pPr>
      <w:r>
        <w:rPr/>
        <w:t>The issues before the Court, in the main, require an appreciation of the law with respect to Mareva injunctions and Norwich orders. This law is first detail</w:t>
      </w:r>
      <w:r>
        <w:rPr/>
        <w:t>ed</w:t>
      </w:r>
      <w:r>
        <w:rPr/>
        <w:t xml:space="preserve">, then the specific issues </w:t>
      </w:r>
      <w:r>
        <w:rPr/>
        <w:t>noted above</w:t>
      </w:r>
      <w:r>
        <w:rPr/>
        <w:t xml:space="preserve"> are addressed.</w:t>
      </w:r>
    </w:p>
    <w:p>
      <w:pPr>
        <w:pStyle w:val="Normal"/>
        <w:keepNext w:val="false"/>
        <w:keepLines w:val="false"/>
        <w:widowControl w:val="false"/>
        <w:suppressAutoHyphens w:val="true"/>
        <w:spacing w:lineRule="auto" w:line="480"/>
        <w:rPr>
          <w:b/>
          <w:bCs/>
          <w:i w:val="false"/>
          <w:i w:val="false"/>
          <w:iCs w:val="false"/>
          <w:u w:val="single"/>
        </w:rPr>
      </w:pPr>
      <w:r>
        <w:rPr>
          <w:b/>
          <w:bCs/>
          <w:i w:val="false"/>
          <w:iCs w:val="false"/>
          <w:u w:val="single"/>
        </w:rPr>
        <w:t>Law</w:t>
      </w:r>
    </w:p>
    <w:p>
      <w:pPr>
        <w:pStyle w:val="Normal"/>
        <w:keepNext w:val="false"/>
        <w:keepLines w:val="false"/>
        <w:widowControl w:val="false"/>
        <w:numPr>
          <w:ilvl w:val="0"/>
          <w:numId w:val="3"/>
        </w:numPr>
        <w:suppressAutoHyphens w:val="true"/>
        <w:spacing w:lineRule="auto" w:line="480"/>
        <w:rPr/>
      </w:pPr>
      <w:r>
        <w:rPr/>
        <w:t xml:space="preserve">Mareva injunctions and Norwich orders are forms of interlocutory relief governed by rule 40 of the </w:t>
      </w:r>
      <w:r>
        <w:rPr>
          <w:i/>
          <w:iCs/>
        </w:rPr>
        <w:t>Rules of Civil Procedure</w:t>
      </w:r>
      <w:r>
        <w:rPr>
          <w:i w:val="false"/>
          <w:iCs w:val="false"/>
        </w:rPr>
        <w:t xml:space="preserve">. These injunctions and orders flow from the Court’s equitable jurisdiction. </w:t>
      </w:r>
    </w:p>
    <w:p>
      <w:pPr>
        <w:pStyle w:val="Normal"/>
        <w:keepNext w:val="false"/>
        <w:keepLines w:val="false"/>
        <w:widowControl w:val="false"/>
        <w:numPr>
          <w:ilvl w:val="0"/>
          <w:numId w:val="3"/>
        </w:numPr>
        <w:suppressAutoHyphens w:val="true"/>
        <w:spacing w:lineRule="auto" w:line="480"/>
        <w:rPr/>
      </w:pPr>
      <w:r>
        <w:rPr/>
        <w:t>The test for granting an injunction is not composed of discrete requirements. The test must instead be viewed wholistically, with a view toward appreciating the global view of the situation that gives rise to the potential need for an injunction. Justice Sharpe has written that “strength on one part of the test ought to be permitted to compensate for weakness on another”.</w:t>
      </w:r>
      <w:r>
        <w:rPr>
          <w:rStyle w:val="FootnoteReference"/>
        </w:rPr>
        <w:footnoteReference w:id="2"/>
      </w:r>
      <w:r>
        <w:rPr/>
        <w:t xml:space="preserve"> This view has been brought to bear on the Court’s test for a Mareva injunction.</w:t>
      </w:r>
      <w:r>
        <w:rPr>
          <w:rStyle w:val="FootnoteReference"/>
        </w:rPr>
        <w:footnoteReference w:id="3"/>
      </w:r>
    </w:p>
    <w:p>
      <w:pPr>
        <w:pStyle w:val="Normal"/>
        <w:keepNext w:val="false"/>
        <w:keepLines w:val="false"/>
        <w:widowControl w:val="false"/>
        <w:suppressAutoHyphens w:val="true"/>
        <w:spacing w:lineRule="auto" w:line="480"/>
        <w:rPr>
          <w:b/>
          <w:bCs/>
        </w:rPr>
      </w:pPr>
      <w:r>
        <w:rPr>
          <w:b/>
          <w:bCs/>
        </w:rPr>
        <w:t>Maxims of equity</w:t>
      </w:r>
    </w:p>
    <w:p>
      <w:pPr>
        <w:pStyle w:val="Normal"/>
        <w:keepNext w:val="false"/>
        <w:keepLines w:val="false"/>
        <w:widowControl w:val="false"/>
        <w:suppressAutoHyphens w:val="true"/>
        <w:spacing w:lineRule="auto" w:line="480"/>
        <w:rPr/>
      </w:pPr>
      <w:r>
        <w:rPr>
          <w:b w:val="false"/>
          <w:bCs w:val="false"/>
          <w:i/>
          <w:iCs/>
        </w:rPr>
        <w:t xml:space="preserve">Xe who comes into equity must come with clean hands </w:t>
      </w:r>
    </w:p>
    <w:p>
      <w:pPr>
        <w:pStyle w:val="Normal"/>
        <w:keepNext w:val="false"/>
        <w:keepLines w:val="false"/>
        <w:widowControl w:val="false"/>
        <w:numPr>
          <w:ilvl w:val="0"/>
          <w:numId w:val="3"/>
        </w:numPr>
        <w:suppressAutoHyphens w:val="true"/>
        <w:spacing w:lineRule="auto" w:line="480"/>
        <w:rPr/>
      </w:pPr>
      <w:r>
        <w:rPr/>
        <w:t xml:space="preserve">Exercise of the Court’s equitable jurisdiction </w:t>
      </w:r>
      <w:r>
        <w:rPr>
          <w:i w:val="false"/>
          <w:iCs w:val="false"/>
        </w:rPr>
        <w:t>requires the petitioning party to come to the Court with clean hands. This requirement is specific: a party “seeking equitable relief [must] show that his past record in the transaction is clean”.</w:t>
      </w:r>
      <w:r>
        <w:rPr>
          <w:rStyle w:val="FootnoteReference"/>
          <w:i w:val="false"/>
          <w:iCs w:val="false"/>
        </w:rPr>
        <w:footnoteReference w:id="4"/>
      </w:r>
      <w:r>
        <w:rPr>
          <w:i w:val="false"/>
          <w:iCs w:val="false"/>
        </w:rPr>
        <w:t xml:space="preserve"> The parties’ conduct is only evaluated with respect to the matter before the Court.</w:t>
      </w:r>
    </w:p>
    <w:p>
      <w:pPr>
        <w:pStyle w:val="Normal"/>
        <w:keepNext w:val="false"/>
        <w:keepLines w:val="false"/>
        <w:widowControl w:val="false"/>
        <w:numPr>
          <w:ilvl w:val="0"/>
          <w:numId w:val="3"/>
        </w:numPr>
        <w:suppressAutoHyphens w:val="true"/>
        <w:spacing w:lineRule="auto" w:line="480"/>
        <w:rPr/>
      </w:pPr>
      <w:r>
        <w:rPr>
          <w:i w:val="false"/>
          <w:iCs w:val="false"/>
        </w:rPr>
        <w:t>A Mareva injunction will not be issued unless the petitioner comes to the Court with clean hands.</w:t>
      </w:r>
      <w:r>
        <w:rPr>
          <w:rStyle w:val="FootnoteReference"/>
          <w:i w:val="false"/>
          <w:iCs w:val="false"/>
        </w:rPr>
        <w:footnoteReference w:id="5"/>
      </w:r>
      <w:r>
        <w:rPr>
          <w:i w:val="false"/>
          <w:iCs w:val="false"/>
        </w:rPr>
        <w:t xml:space="preserve"> A failure to make full disclosure of all material facts in the applicant’s knowledge on an</w:t>
      </w:r>
      <w:r>
        <w:rPr>
          <w:i/>
          <w:iCs/>
        </w:rPr>
        <w:t xml:space="preserve"> ex parte</w:t>
      </w:r>
      <w:r>
        <w:rPr>
          <w:i w:val="false"/>
          <w:iCs w:val="false"/>
        </w:rPr>
        <w:t xml:space="preserve"> motion</w:t>
      </w:r>
      <w:r>
        <w:rPr>
          <w:i/>
          <w:iCs/>
        </w:rPr>
        <w:t xml:space="preserve"> </w:t>
      </w:r>
      <w:r>
        <w:rPr>
          <w:i w:val="false"/>
          <w:iCs w:val="false"/>
        </w:rPr>
        <w:t>will result in unclean hands.</w:t>
      </w:r>
      <w:r>
        <w:rPr>
          <w:rStyle w:val="FootnoteReference"/>
          <w:i w:val="false"/>
          <w:iCs w:val="false"/>
        </w:rPr>
        <w:footnoteReference w:id="6"/>
      </w:r>
    </w:p>
    <w:p>
      <w:pPr>
        <w:pStyle w:val="Normal"/>
        <w:keepNext w:val="false"/>
        <w:keepLines w:val="false"/>
        <w:widowControl w:val="false"/>
        <w:numPr>
          <w:ilvl w:val="0"/>
          <w:numId w:val="3"/>
        </w:numPr>
        <w:suppressAutoHyphens w:val="true"/>
        <w:spacing w:lineRule="auto" w:line="480"/>
        <w:rPr>
          <w:i w:val="false"/>
          <w:i w:val="false"/>
          <w:iCs w:val="false"/>
        </w:rPr>
      </w:pPr>
      <w:r>
        <w:rPr>
          <w:i w:val="false"/>
          <w:iCs w:val="false"/>
        </w:rPr>
        <w:t>The cleanliness of the hands must be judged in each case as a function of the remedy sought. Justice Perell summarizes the analysis:</w:t>
      </w:r>
    </w:p>
    <w:p>
      <w:pPr>
        <w:pStyle w:val="Normal"/>
        <w:keepNext w:val="false"/>
        <w:keepLines w:val="false"/>
        <w:widowControl w:val="false"/>
        <w:suppressAutoHyphens w:val="true"/>
        <w:spacing w:lineRule="auto" w:line="276"/>
        <w:ind w:hanging="0" w:left="1440"/>
        <w:rPr/>
      </w:pPr>
      <w:r>
        <w:rPr>
          <w:b w:val="false"/>
          <w:i w:val="false"/>
          <w:iCs w:val="false"/>
          <w:caps w:val="false"/>
          <w:smallCaps w:val="false"/>
          <w:color w:val="000000"/>
          <w:spacing w:val="0"/>
          <w:sz w:val="24"/>
        </w:rPr>
        <w:t>As commentators and judges have noted, the metaphor that a claimant for equitable relief must have clean hands must be put into context. Judges of the courts of equity do not deny relief because the claimant is a villain or wrongdoer; rather, the judges deny relief when the claimant’s wrongdoing taints the appropriateness of the remedy being sought from the court. In </w:t>
      </w:r>
      <w:r>
        <w:rPr>
          <w:b w:val="false"/>
          <w:i/>
          <w:iCs w:val="false"/>
          <w:color w:val="000000"/>
          <w:spacing w:val="0"/>
          <w:sz w:val="24"/>
        </w:rPr>
        <w:t>Argyll v. Argyll, </w:t>
      </w:r>
      <w:r>
        <w:rPr>
          <w:b w:val="false"/>
          <w:i w:val="false"/>
          <w:iCs w:val="false"/>
          <w:caps w:val="false"/>
          <w:smallCaps w:val="false"/>
          <w:color w:val="000000"/>
          <w:spacing w:val="0"/>
          <w:sz w:val="24"/>
        </w:rPr>
        <w:t>[1967] Ch. 302, Ungoed-Thomas, J. described the principle nicely at pp. 331-2 , when he said: “A person coming to Equity for relief . . . must come with clean hands; but the cleanliness required is to be judged in relation to the relief sought.”</w:t>
      </w:r>
      <w:r>
        <w:rPr>
          <w:rStyle w:val="FootnoteReference"/>
          <w:b w:val="false"/>
          <w:i w:val="false"/>
          <w:iCs w:val="false"/>
          <w:caps w:val="false"/>
          <w:smallCaps w:val="false"/>
          <w:color w:val="000000"/>
          <w:spacing w:val="0"/>
          <w:sz w:val="24"/>
        </w:rPr>
        <w:footnoteReference w:id="7"/>
      </w:r>
    </w:p>
    <w:p>
      <w:pPr>
        <w:pStyle w:val="Normal"/>
        <w:widowControl w:val="false"/>
        <w:suppressAutoHyphens w:val="true"/>
        <w:spacing w:lineRule="auto" w:line="276"/>
        <w:ind w:hanging="0" w:left="1440"/>
        <w:rPr>
          <w:b w:val="false"/>
          <w:i w:val="false"/>
          <w:i w:val="false"/>
          <w:iCs w:val="false"/>
          <w:caps w:val="false"/>
          <w:smallCaps w:val="false"/>
          <w:color w:val="000000"/>
          <w:spacing w:val="0"/>
          <w:sz w:val="24"/>
        </w:rPr>
      </w:pPr>
      <w:r>
        <w:rPr>
          <w:b w:val="false"/>
          <w:i w:val="false"/>
          <w:iCs w:val="false"/>
          <w:caps w:val="false"/>
          <w:smallCaps w:val="false"/>
          <w:color w:val="000000"/>
          <w:spacing w:val="0"/>
          <w:sz w:val="24"/>
        </w:rPr>
      </w:r>
    </w:p>
    <w:p>
      <w:pPr>
        <w:pStyle w:val="Normal"/>
        <w:keepNext w:val="false"/>
        <w:keepLines w:val="false"/>
        <w:widowControl w:val="false"/>
        <w:suppressAutoHyphens w:val="true"/>
        <w:spacing w:lineRule="auto" w:line="480"/>
        <w:rPr>
          <w:rFonts w:ascii="Times New Roman" w:hAnsi="Times New Roman"/>
          <w:sz w:val="24"/>
          <w:szCs w:val="24"/>
        </w:rPr>
      </w:pPr>
      <w:r>
        <w:rPr>
          <w:i/>
          <w:iCs/>
          <w:sz w:val="24"/>
          <w:szCs w:val="24"/>
        </w:rPr>
        <w:t>Equity will not suffer a wrong to be without a remedy</w:t>
      </w:r>
    </w:p>
    <w:p>
      <w:pPr>
        <w:pStyle w:val="Normal"/>
        <w:keepNext w:val="false"/>
        <w:keepLines w:val="false"/>
        <w:widowControl w:val="false"/>
        <w:numPr>
          <w:ilvl w:val="0"/>
          <w:numId w:val="3"/>
        </w:numPr>
        <w:suppressAutoHyphens w:val="true"/>
        <w:spacing w:lineRule="auto" w:line="480"/>
        <w:rPr/>
      </w:pPr>
      <w:r>
        <w:rPr>
          <w:i w:val="false"/>
          <w:iCs w:val="false"/>
        </w:rPr>
        <w:t>A court of equity will come to the aid of a person wronged if a legal remedy does not exist. This maxim imbues the courts of equity with a residual jurisdiction to enforce a litigant’s rights. The remedy of a Norwich order, discussed below, is an example of this residual discretion at work.</w:t>
      </w:r>
      <w:r>
        <w:rPr>
          <w:rStyle w:val="FootnoteReference"/>
          <w:i w:val="false"/>
          <w:iCs w:val="false"/>
        </w:rPr>
        <w:footnoteReference w:id="8"/>
      </w:r>
    </w:p>
    <w:p>
      <w:pPr>
        <w:pStyle w:val="Normal"/>
        <w:keepNext w:val="false"/>
        <w:keepLines w:val="false"/>
        <w:widowControl w:val="false"/>
        <w:suppressAutoHyphens w:val="true"/>
        <w:spacing w:lineRule="auto" w:line="480"/>
        <w:rPr/>
      </w:pPr>
      <w:r>
        <w:rPr>
          <w:b/>
          <w:bCs/>
        </w:rPr>
        <w:t>The Test for a Mareva Injunction</w:t>
      </w:r>
      <w:r>
        <w:rPr/>
        <w:t xml:space="preserve"> </w:t>
      </w:r>
    </w:p>
    <w:p>
      <w:pPr>
        <w:pStyle w:val="Normal"/>
        <w:keepNext w:val="false"/>
        <w:keepLines w:val="false"/>
        <w:widowControl w:val="false"/>
        <w:numPr>
          <w:ilvl w:val="0"/>
          <w:numId w:val="3"/>
        </w:numPr>
        <w:suppressAutoHyphens w:val="true"/>
        <w:spacing w:lineRule="auto" w:line="480"/>
        <w:rPr/>
      </w:pPr>
      <w:r>
        <w:rPr/>
        <w:t xml:space="preserve">Rule 40.01 of the </w:t>
      </w:r>
      <w:r>
        <w:rPr>
          <w:i/>
          <w:iCs/>
        </w:rPr>
        <w:t>Rules of Civil Procedure</w:t>
      </w:r>
      <w:r>
        <w:rPr/>
        <w:t xml:space="preserve"> provides that an injunction may be obtained on a motion to a judge by a party to a proceeding or an intended proceeding.</w:t>
      </w:r>
      <w:r>
        <w:rPr>
          <w:rStyle w:val="FootnoteReference"/>
        </w:rPr>
        <w:footnoteReference w:id="9"/>
      </w:r>
    </w:p>
    <w:p>
      <w:pPr>
        <w:pStyle w:val="Normal"/>
        <w:keepNext w:val="false"/>
        <w:keepLines w:val="false"/>
        <w:widowControl w:val="false"/>
        <w:numPr>
          <w:ilvl w:val="0"/>
          <w:numId w:val="3"/>
        </w:numPr>
        <w:suppressAutoHyphens w:val="true"/>
        <w:spacing w:lineRule="auto" w:line="480"/>
        <w:rPr/>
      </w:pPr>
      <w:r>
        <w:rPr/>
        <w:t>A Mareva injunction, like its sometimes-sister, the Norwich order, is a discretionary equitable remedy. The goal of the injunction is to “maintain the integrity of the court’s process and prevent the frustration of the course of justice”.</w:t>
      </w:r>
      <w:r>
        <w:rPr>
          <w:rStyle w:val="FootnoteReference"/>
        </w:rPr>
        <w:footnoteReference w:id="10"/>
      </w:r>
      <w:r>
        <w:rPr/>
        <w:t xml:space="preserve"> The Mareva injunction is a limited exception to the general principle that a party may not obtain execution before judgment.</w:t>
      </w:r>
      <w:r>
        <w:rPr>
          <w:rStyle w:val="FootnoteReference"/>
        </w:rPr>
        <w:footnoteReference w:id="11"/>
      </w:r>
    </w:p>
    <w:p>
      <w:pPr>
        <w:pStyle w:val="Normal"/>
        <w:keepNext w:val="false"/>
        <w:keepLines w:val="false"/>
        <w:widowControl w:val="false"/>
        <w:numPr>
          <w:ilvl w:val="0"/>
          <w:numId w:val="3"/>
        </w:numPr>
        <w:suppressAutoHyphens w:val="true"/>
        <w:spacing w:lineRule="auto" w:line="480"/>
        <w:rPr/>
      </w:pPr>
      <w:r>
        <w:rPr/>
        <w:t>Mareva orders are granted with a view to freezing and preserving the assets of parties to ensure that those assets are available to satisfy a judgment. Though a Mareva injunction may issue for any kind of conduct, it is often used by victims of fraud, for “the basic premise of a Mareva order is that the defendant is a rogue bent on flouting the process of the court”.</w:t>
      </w:r>
      <w:r>
        <w:rPr>
          <w:rStyle w:val="FootnoteReference"/>
        </w:rPr>
        <w:footnoteReference w:id="12"/>
      </w:r>
      <w:r>
        <w:rPr/>
        <w:t xml:space="preserve"> A Mareva injunction is only granted when there is a “genuine risk of disappearance of assets”.</w:t>
      </w:r>
      <w:r>
        <w:rPr>
          <w:rStyle w:val="FootnoteReference"/>
        </w:rPr>
        <w:footnoteReference w:id="13"/>
      </w:r>
    </w:p>
    <w:p>
      <w:pPr>
        <w:pStyle w:val="Normal"/>
        <w:keepNext w:val="false"/>
        <w:keepLines w:val="false"/>
        <w:widowControl w:val="false"/>
        <w:numPr>
          <w:ilvl w:val="0"/>
          <w:numId w:val="3"/>
        </w:numPr>
        <w:suppressAutoHyphens w:val="true"/>
        <w:spacing w:lineRule="auto" w:line="480"/>
        <w:rPr/>
      </w:pPr>
      <w:r>
        <w:rPr/>
        <w:t xml:space="preserve">In order to obtain a Mareva injunction, the moving party must establish that: </w:t>
      </w:r>
    </w:p>
    <w:p>
      <w:pPr>
        <w:pStyle w:val="Normal"/>
        <w:keepNext w:val="false"/>
        <w:keepLines w:val="false"/>
        <w:widowControl w:val="false"/>
        <w:numPr>
          <w:ilvl w:val="1"/>
          <w:numId w:val="3"/>
        </w:numPr>
        <w:suppressAutoHyphens w:val="true"/>
        <w:spacing w:lineRule="auto" w:line="480"/>
        <w:rPr/>
      </w:pPr>
      <w:r>
        <w:rPr/>
        <w:t xml:space="preserve">it has a strong </w:t>
      </w:r>
      <w:r>
        <w:rPr>
          <w:i/>
          <w:iCs/>
        </w:rPr>
        <w:t xml:space="preserve">prima facie </w:t>
      </w:r>
      <w:r>
        <w:rPr/>
        <w:t>case of fraud;</w:t>
      </w:r>
    </w:p>
    <w:p>
      <w:pPr>
        <w:pStyle w:val="Normal"/>
        <w:keepNext w:val="false"/>
        <w:keepLines w:val="false"/>
        <w:widowControl w:val="false"/>
        <w:numPr>
          <w:ilvl w:val="1"/>
          <w:numId w:val="3"/>
        </w:numPr>
        <w:suppressAutoHyphens w:val="true"/>
        <w:spacing w:lineRule="auto" w:line="480"/>
        <w:rPr/>
      </w:pPr>
      <w:r>
        <w:rPr/>
        <w:t>the defendants / respondents have assets in the jurisdiction;</w:t>
      </w:r>
    </w:p>
    <w:p>
      <w:pPr>
        <w:pStyle w:val="Normal"/>
        <w:keepNext w:val="false"/>
        <w:keepLines w:val="false"/>
        <w:widowControl w:val="false"/>
        <w:numPr>
          <w:ilvl w:val="1"/>
          <w:numId w:val="3"/>
        </w:numPr>
        <w:suppressAutoHyphens w:val="true"/>
        <w:spacing w:lineRule="auto" w:line="480"/>
        <w:rPr/>
      </w:pPr>
      <w:r>
        <w:rPr/>
        <w:t xml:space="preserve">there is a real and genuine risk that the respondent will put assets beyond the reach of creditors for the purpose of avoiding judgment; </w:t>
      </w:r>
    </w:p>
    <w:p>
      <w:pPr>
        <w:pStyle w:val="Normal"/>
        <w:keepNext w:val="false"/>
        <w:keepLines w:val="false"/>
        <w:widowControl w:val="false"/>
        <w:numPr>
          <w:ilvl w:val="1"/>
          <w:numId w:val="3"/>
        </w:numPr>
        <w:suppressAutoHyphens w:val="true"/>
        <w:spacing w:lineRule="auto" w:line="480"/>
        <w:rPr/>
      </w:pPr>
      <w:r>
        <w:rPr/>
        <w:t xml:space="preserve">the moving party will suffer irreparable harm; and </w:t>
      </w:r>
    </w:p>
    <w:p>
      <w:pPr>
        <w:pStyle w:val="Normal"/>
        <w:keepNext w:val="false"/>
        <w:keepLines w:val="false"/>
        <w:widowControl w:val="false"/>
        <w:numPr>
          <w:ilvl w:val="1"/>
          <w:numId w:val="3"/>
        </w:numPr>
        <w:suppressAutoHyphens w:val="true"/>
        <w:spacing w:lineRule="auto" w:line="480"/>
        <w:rPr/>
      </w:pPr>
      <w:r>
        <w:rPr/>
        <w:t>the balance of convenience favours the moving party.</w:t>
      </w:r>
      <w:r>
        <w:rPr>
          <w:rStyle w:val="FootnoteReference"/>
        </w:rPr>
        <w:footnoteReference w:id="14"/>
      </w:r>
    </w:p>
    <w:p>
      <w:pPr>
        <w:pStyle w:val="Normal"/>
        <w:keepNext w:val="false"/>
        <w:keepLines w:val="false"/>
        <w:widowControl w:val="false"/>
        <w:numPr>
          <w:ilvl w:val="0"/>
          <w:numId w:val="3"/>
        </w:numPr>
        <w:suppressAutoHyphens w:val="true"/>
        <w:spacing w:lineRule="auto" w:line="480"/>
        <w:rPr/>
      </w:pPr>
      <w:r>
        <w:rPr/>
        <w:t xml:space="preserve">In addition, general guidelines to be considered when a Mareva injunction is sought include that the moving party should, among other things: </w:t>
      </w:r>
    </w:p>
    <w:p>
      <w:pPr>
        <w:pStyle w:val="Normal"/>
        <w:keepNext w:val="false"/>
        <w:keepLines w:val="false"/>
        <w:widowControl w:val="false"/>
        <w:numPr>
          <w:ilvl w:val="1"/>
          <w:numId w:val="3"/>
        </w:numPr>
        <w:suppressAutoHyphens w:val="true"/>
        <w:spacing w:lineRule="auto" w:line="480"/>
        <w:rPr/>
      </w:pPr>
      <w:r>
        <w:rPr/>
        <w:t xml:space="preserve">make full and frank disclosure of all matters in its knowledge that are material to the motion; </w:t>
      </w:r>
    </w:p>
    <w:p>
      <w:pPr>
        <w:pStyle w:val="Normal"/>
        <w:keepNext w:val="false"/>
        <w:keepLines w:val="false"/>
        <w:widowControl w:val="false"/>
        <w:numPr>
          <w:ilvl w:val="1"/>
          <w:numId w:val="3"/>
        </w:numPr>
        <w:suppressAutoHyphens w:val="true"/>
        <w:spacing w:lineRule="auto" w:line="480"/>
        <w:rPr/>
      </w:pPr>
      <w:r>
        <w:rPr/>
        <w:t xml:space="preserve">give particulars of the claim stating the ground and amount of the claim, and fairly stating the points made against it by the respondents; </w:t>
      </w:r>
    </w:p>
    <w:p>
      <w:pPr>
        <w:pStyle w:val="Normal"/>
        <w:keepNext w:val="false"/>
        <w:keepLines w:val="false"/>
        <w:widowControl w:val="false"/>
        <w:numPr>
          <w:ilvl w:val="1"/>
          <w:numId w:val="3"/>
        </w:numPr>
        <w:suppressAutoHyphens w:val="true"/>
        <w:spacing w:lineRule="auto" w:line="480"/>
        <w:rPr/>
      </w:pPr>
      <w:r>
        <w:rPr/>
        <w:t xml:space="preserve">give some grounds for believing that the respondents have assets in the jurisdiction; </w:t>
      </w:r>
    </w:p>
    <w:p>
      <w:pPr>
        <w:pStyle w:val="Normal"/>
        <w:keepNext w:val="false"/>
        <w:keepLines w:val="false"/>
        <w:widowControl w:val="false"/>
        <w:numPr>
          <w:ilvl w:val="1"/>
          <w:numId w:val="3"/>
        </w:numPr>
        <w:suppressAutoHyphens w:val="true"/>
        <w:spacing w:lineRule="auto" w:line="480"/>
        <w:rPr/>
      </w:pPr>
      <w:r>
        <w:rPr/>
        <w:t xml:space="preserve">give some grounds for believing that there is a risk of the assets being removed or dissipated before the judgment is satisfied or why a Mareva injunction is necessary to prevent fraud on the court or the adversary; and </w:t>
      </w:r>
    </w:p>
    <w:p>
      <w:pPr>
        <w:pStyle w:val="Normal"/>
        <w:keepNext w:val="false"/>
        <w:keepLines w:val="false"/>
        <w:widowControl w:val="false"/>
        <w:numPr>
          <w:ilvl w:val="1"/>
          <w:numId w:val="3"/>
        </w:numPr>
        <w:suppressAutoHyphens w:val="true"/>
        <w:spacing w:lineRule="auto" w:line="480"/>
        <w:rPr/>
      </w:pPr>
      <w:r>
        <w:rPr/>
        <w:t>give an undertaking as to damages (unless the Court orders otherwise).</w:t>
      </w:r>
      <w:r>
        <w:rPr>
          <w:rStyle w:val="FootnoteReference"/>
        </w:rPr>
        <w:footnoteReference w:id="15"/>
      </w:r>
      <w:r>
        <w:rPr/>
        <w:t xml:space="preserve"> </w:t>
      </w:r>
    </w:p>
    <w:p>
      <w:pPr>
        <w:pStyle w:val="Normal"/>
        <w:keepNext w:val="false"/>
        <w:keepLines w:val="false"/>
        <w:widowControl w:val="false"/>
        <w:numPr>
          <w:ilvl w:val="0"/>
          <w:numId w:val="3"/>
        </w:numPr>
        <w:suppressAutoHyphens w:val="true"/>
        <w:spacing w:lineRule="auto" w:line="480"/>
        <w:rPr/>
      </w:pPr>
      <w:r>
        <w:rPr/>
        <w:t>While Mareva injunctions are generally granted in the context of fraud, other causes of action, such as a breach of fiduciary duty, may attract a Mareva injunction. A cause of action other than fraud, however, does “not necessarily lead as readily to an inference of asset dissipation absent other supporting facts”.</w:t>
      </w:r>
      <w:r>
        <w:rPr>
          <w:rStyle w:val="FootnoteReference"/>
        </w:rPr>
        <w:footnoteReference w:id="16"/>
      </w:r>
      <w:r>
        <w:rPr/>
        <w:t xml:space="preserve"> </w:t>
      </w:r>
    </w:p>
    <w:p>
      <w:pPr>
        <w:pStyle w:val="Normal"/>
        <w:keepNext w:val="false"/>
        <w:keepLines w:val="false"/>
        <w:widowControl w:val="false"/>
        <w:suppressAutoHyphens w:val="true"/>
        <w:spacing w:lineRule="auto" w:line="480"/>
        <w:rPr>
          <w:i/>
          <w:i/>
          <w:iCs/>
          <w:u w:val="single"/>
        </w:rPr>
      </w:pPr>
      <w:r>
        <w:rPr>
          <w:i/>
          <w:iCs/>
          <w:u w:val="single"/>
        </w:rPr>
        <w:t>The prima facie case</w:t>
      </w:r>
    </w:p>
    <w:p>
      <w:pPr>
        <w:pStyle w:val="Normal"/>
        <w:keepNext w:val="false"/>
        <w:keepLines w:val="false"/>
        <w:widowControl w:val="false"/>
        <w:numPr>
          <w:ilvl w:val="0"/>
          <w:numId w:val="3"/>
        </w:numPr>
        <w:suppressAutoHyphens w:val="true"/>
        <w:spacing w:lineRule="auto" w:line="480"/>
        <w:rPr/>
      </w:pPr>
      <w:r>
        <w:rPr/>
        <w:t xml:space="preserve">A </w:t>
      </w:r>
      <w:r>
        <w:rPr>
          <w:i/>
          <w:iCs/>
        </w:rPr>
        <w:t>prima facie</w:t>
      </w:r>
      <w:r>
        <w:rPr/>
        <w:t xml:space="preserve"> case is established when, the applicant satisfies the Court that, “upon a preliminary review of the case, [...] there is a strong likelihood on the law and the evidence presented that, at trial, the applicant will be ultimately successful in proving the allegations”.</w:t>
      </w:r>
      <w:r>
        <w:rPr>
          <w:rStyle w:val="FootnoteReference"/>
        </w:rPr>
        <w:footnoteReference w:id="17"/>
      </w:r>
    </w:p>
    <w:p>
      <w:pPr>
        <w:pStyle w:val="Normal"/>
        <w:keepNext w:val="false"/>
        <w:keepLines w:val="false"/>
        <w:widowControl w:val="false"/>
        <w:numPr>
          <w:ilvl w:val="0"/>
          <w:numId w:val="3"/>
        </w:numPr>
        <w:suppressAutoHyphens w:val="true"/>
        <w:spacing w:lineRule="auto" w:line="480"/>
        <w:rPr/>
      </w:pPr>
      <w:r>
        <w:rPr/>
        <w:t xml:space="preserve">A stronger formulation of this test has been adopted in a line of cases stemming from </w:t>
      </w:r>
      <w:r>
        <w:rPr>
          <w:i/>
          <w:iCs/>
        </w:rPr>
        <w:t xml:space="preserve">Petro-Diamond Incorporated v. Verdeo Inc. </w:t>
      </w:r>
      <w:r>
        <w:rPr>
          <w:i w:val="false"/>
          <w:iCs w:val="false"/>
        </w:rPr>
        <w:t xml:space="preserve">In that case, Justice Wilton-Siegel adopted Robert J. Sharpe’s description of the test for a strong </w:t>
      </w:r>
      <w:r>
        <w:rPr>
          <w:i/>
          <w:iCs/>
        </w:rPr>
        <w:t xml:space="preserve">prima facie </w:t>
      </w:r>
      <w:r>
        <w:rPr>
          <w:i w:val="false"/>
          <w:iCs w:val="false"/>
        </w:rPr>
        <w:t>case: “</w:t>
      </w:r>
      <w:r>
        <w:rPr>
          <w:rFonts w:ascii="Times New Roman;serif" w:hAnsi="Times New Roman;serif"/>
          <w:b w:val="false"/>
          <w:i w:val="false"/>
          <w:iCs w:val="false"/>
          <w:caps w:val="false"/>
          <w:smallCaps w:val="false"/>
          <w:color w:val="000000"/>
          <w:spacing w:val="0"/>
          <w:sz w:val="24"/>
        </w:rPr>
        <w:t>if the court had to decide the matter on the merits on the basis of the material before it, would the plaintiff succeed?</w:t>
      </w:r>
      <w:r>
        <w:rPr>
          <w:i w:val="false"/>
          <w:iCs w:val="false"/>
        </w:rPr>
        <w:t>”</w:t>
      </w:r>
      <w:r>
        <w:rPr>
          <w:rStyle w:val="FootnoteReference"/>
          <w:i w:val="false"/>
          <w:iCs w:val="false"/>
        </w:rPr>
        <w:footnoteReference w:id="18"/>
      </w:r>
    </w:p>
    <w:p>
      <w:pPr>
        <w:pStyle w:val="Normal"/>
        <w:keepNext w:val="false"/>
        <w:keepLines w:val="false"/>
        <w:widowControl w:val="false"/>
        <w:suppressAutoHyphens w:val="true"/>
        <w:spacing w:lineRule="auto" w:line="480"/>
        <w:rPr>
          <w:i/>
          <w:i/>
          <w:iCs/>
          <w:u w:val="single"/>
        </w:rPr>
      </w:pPr>
      <w:r>
        <w:rPr>
          <w:i/>
          <w:iCs/>
          <w:u w:val="single"/>
        </w:rPr>
        <w:t>Assets in the jurisdiction</w:t>
      </w:r>
    </w:p>
    <w:p>
      <w:pPr>
        <w:pStyle w:val="Normal"/>
        <w:keepNext w:val="false"/>
        <w:keepLines w:val="false"/>
        <w:widowControl w:val="false"/>
        <w:numPr>
          <w:ilvl w:val="0"/>
          <w:numId w:val="3"/>
        </w:numPr>
        <w:suppressAutoHyphens w:val="true"/>
        <w:spacing w:lineRule="auto" w:line="480"/>
        <w:rPr/>
      </w:pPr>
      <w:r>
        <w:rPr/>
        <w:t xml:space="preserve">The applicant must make best efforts to provide evidence that the defendant / respondent possesses assets in the Court’s jurisdiction. This effort is more pronounced on an </w:t>
      </w:r>
      <w:r>
        <w:rPr>
          <w:i/>
          <w:iCs/>
        </w:rPr>
        <w:t xml:space="preserve">ex parte </w:t>
      </w:r>
      <w:r>
        <w:rPr>
          <w:i w:val="false"/>
          <w:iCs w:val="false"/>
        </w:rPr>
        <w:t>motion; a motion to which parties have had the opportunity to respond will shift the burden of identifying assets to the defendant / respondent.</w:t>
      </w:r>
      <w:r>
        <w:rPr>
          <w:rStyle w:val="FootnoteReference"/>
          <w:i w:val="false"/>
          <w:iCs w:val="false"/>
        </w:rPr>
        <w:footnoteReference w:id="19"/>
      </w:r>
      <w:r>
        <w:rPr>
          <w:i w:val="false"/>
          <w:iCs w:val="false"/>
        </w:rPr>
        <w:t xml:space="preserve"> If the defendant / respondent does not identify its assets to the Court, the Court may impose a blanket Mareva injunction on assets within and without the jurisdiction until the defendant / respondent identifies assets.</w:t>
      </w:r>
      <w:r>
        <w:rPr>
          <w:rStyle w:val="FootnoteReference"/>
          <w:i w:val="false"/>
          <w:iCs w:val="false"/>
        </w:rPr>
        <w:footnoteReference w:id="20"/>
      </w:r>
    </w:p>
    <w:p>
      <w:pPr>
        <w:pStyle w:val="Normal"/>
        <w:keepNext w:val="false"/>
        <w:keepLines w:val="false"/>
        <w:widowControl w:val="false"/>
        <w:suppressAutoHyphens w:val="true"/>
        <w:spacing w:lineRule="auto" w:line="480"/>
        <w:rPr>
          <w:i/>
          <w:i/>
          <w:iCs/>
          <w:u w:val="single"/>
        </w:rPr>
      </w:pPr>
      <w:r>
        <w:rPr>
          <w:i/>
          <w:iCs/>
          <w:u w:val="single"/>
        </w:rPr>
        <w:t>Real and genuine risk of dissipation</w:t>
      </w:r>
    </w:p>
    <w:p>
      <w:pPr>
        <w:pStyle w:val="Normal"/>
        <w:keepNext w:val="false"/>
        <w:keepLines w:val="false"/>
        <w:widowControl w:val="false"/>
        <w:numPr>
          <w:ilvl w:val="0"/>
          <w:numId w:val="3"/>
        </w:numPr>
        <w:suppressAutoHyphens w:val="true"/>
        <w:spacing w:lineRule="auto" w:line="480"/>
        <w:rPr/>
      </w:pPr>
      <w:r>
        <w:rPr/>
        <w:t xml:space="preserve">Justice Strahy, as he then was, reviews the case law relating to the Court’s analysis of a real and genuine risk of dissipation in the context of the </w:t>
      </w:r>
      <w:r>
        <w:rPr>
          <w:i/>
          <w:iCs/>
        </w:rPr>
        <w:t xml:space="preserve">Mareva </w:t>
      </w:r>
      <w:r>
        <w:rPr>
          <w:i w:val="false"/>
          <w:iCs w:val="false"/>
        </w:rPr>
        <w:t>test. Based on his review, he found that</w:t>
      </w:r>
    </w:p>
    <w:p>
      <w:pPr>
        <w:pStyle w:val="Normal"/>
        <w:keepNext w:val="false"/>
        <w:keepLines w:val="false"/>
        <w:widowControl w:val="false"/>
        <w:suppressAutoHyphens w:val="true"/>
        <w:spacing w:lineRule="auto" w:line="276"/>
        <w:ind w:hanging="0" w:left="1440"/>
        <w:rPr>
          <w:i w:val="false"/>
          <w:i w:val="false"/>
          <w:iCs w:val="false"/>
        </w:rPr>
      </w:pPr>
      <w:r>
        <w:rPr>
          <w:i w:val="false"/>
          <w:iCs w:val="false"/>
        </w:rPr>
        <w:t>[63] Rather than carve out an "exception" for fraud, however, it seems to me that in cases of fraud, as in any case, the Mareva requirement that there be risk of removal or dissipation can be established by inference, as opposed to direct evidence, and that inference can arise from the circumstances of the fraud itself, taken in the context of all the surrounding circumstances. It is not necessary to show that the defendant has bought an air ticket to Switzerland, has sold his house and has cleared out his bank accounts. It should be sufficient to show that all the circumstances, including the circumstances of the fraud itself, demonstrate a serious risk that the defendant will attempt to dissipate assets or put them beyond the reach of the plaintiff.</w:t>
      </w:r>
    </w:p>
    <w:p>
      <w:pPr>
        <w:pStyle w:val="Normal"/>
        <w:widowControl w:val="false"/>
        <w:suppressAutoHyphens w:val="true"/>
        <w:spacing w:lineRule="auto" w:line="276"/>
        <w:ind w:hanging="0" w:left="1440"/>
        <w:rPr>
          <w:i w:val="false"/>
          <w:i w:val="false"/>
          <w:iCs w:val="false"/>
        </w:rPr>
      </w:pPr>
      <w:r>
        <w:rPr>
          <w:i w:val="false"/>
          <w:iCs w:val="false"/>
        </w:rPr>
      </w:r>
    </w:p>
    <w:p>
      <w:pPr>
        <w:pStyle w:val="Normal"/>
        <w:keepNext w:val="false"/>
        <w:keepLines w:val="false"/>
        <w:widowControl w:val="false"/>
        <w:suppressAutoHyphens w:val="true"/>
        <w:spacing w:lineRule="auto" w:line="276"/>
        <w:ind w:hanging="0" w:left="1440"/>
        <w:rPr/>
      </w:pPr>
      <w:r>
        <w:rPr>
          <w:i w:val="false"/>
          <w:iCs w:val="false"/>
        </w:rPr>
        <w:t>[64] The risk of removal or alienation can be inferred by evidence suggestive of the defendant's fraudulent criminal activity. In referring to these authorities, I have not overlooked the fact that British Columbia applies a somewhat more flexible approach to the grant of a Mareva injunction than the courts of Ontario have applied. It seems to me, however, that in some cases a pattern of prior fraudulent conduct may support a reasonable inference that there is a real risk that the conduct will continue.</w:t>
      </w:r>
      <w:r>
        <w:rPr>
          <w:rStyle w:val="FootnoteReference"/>
          <w:i w:val="false"/>
          <w:iCs w:val="false"/>
        </w:rPr>
        <w:footnoteReference w:id="21"/>
      </w:r>
    </w:p>
    <w:p>
      <w:pPr>
        <w:pStyle w:val="Normal"/>
        <w:widowControl w:val="false"/>
        <w:suppressAutoHyphens w:val="true"/>
        <w:spacing w:lineRule="auto" w:line="276"/>
        <w:ind w:hanging="0" w:left="1440"/>
        <w:rPr>
          <w:i w:val="false"/>
          <w:i w:val="false"/>
          <w:iCs w:val="false"/>
        </w:rPr>
      </w:pPr>
      <w:r>
        <w:rPr>
          <w:i w:val="false"/>
          <w:iCs w:val="false"/>
        </w:rPr>
      </w:r>
    </w:p>
    <w:p>
      <w:pPr>
        <w:pStyle w:val="Normal"/>
        <w:keepNext w:val="false"/>
        <w:keepLines w:val="false"/>
        <w:widowControl w:val="false"/>
        <w:numPr>
          <w:ilvl w:val="0"/>
          <w:numId w:val="3"/>
        </w:numPr>
        <w:suppressAutoHyphens w:val="true"/>
        <w:spacing w:lineRule="auto" w:line="480"/>
        <w:rPr/>
      </w:pPr>
      <w:r>
        <w:rPr>
          <w:i w:val="false"/>
          <w:iCs w:val="false"/>
        </w:rPr>
        <w:t>A defendant / respondent may ordinarily reside in Ontario but have strong connections to individuals and businesses in another jurisdiction. Such connections may be sufficient evidence to infer that a real risk of dissipation exists.</w:t>
      </w:r>
      <w:r>
        <w:rPr>
          <w:rStyle w:val="FootnoteReference"/>
          <w:i w:val="false"/>
          <w:iCs w:val="false"/>
        </w:rPr>
        <w:footnoteReference w:id="22"/>
      </w:r>
    </w:p>
    <w:p>
      <w:pPr>
        <w:pStyle w:val="Normal"/>
        <w:keepNext w:val="false"/>
        <w:keepLines w:val="false"/>
        <w:widowControl w:val="false"/>
        <w:numPr>
          <w:ilvl w:val="0"/>
          <w:numId w:val="3"/>
        </w:numPr>
        <w:suppressAutoHyphens w:val="true"/>
        <w:spacing w:lineRule="auto" w:line="480"/>
        <w:rPr/>
      </w:pPr>
      <w:r>
        <w:rPr>
          <w:i w:val="false"/>
          <w:iCs w:val="false"/>
        </w:rPr>
        <w:t xml:space="preserve">A strong </w:t>
      </w:r>
      <w:r>
        <w:rPr>
          <w:i/>
          <w:iCs/>
        </w:rPr>
        <w:t xml:space="preserve">prima facie </w:t>
      </w:r>
      <w:r>
        <w:rPr>
          <w:i w:val="false"/>
          <w:iCs w:val="false"/>
        </w:rPr>
        <w:t>case for fraud can lead to an inference that a risk of asset dissipation exists.</w:t>
      </w:r>
      <w:r>
        <w:rPr>
          <w:rStyle w:val="FootnoteReference"/>
          <w:i w:val="false"/>
          <w:iCs w:val="false"/>
        </w:rPr>
        <w:footnoteReference w:id="23"/>
      </w:r>
    </w:p>
    <w:p>
      <w:pPr>
        <w:pStyle w:val="Normal"/>
        <w:keepNext w:val="false"/>
        <w:keepLines w:val="false"/>
        <w:widowControl w:val="false"/>
        <w:suppressAutoHyphens w:val="true"/>
        <w:spacing w:lineRule="auto" w:line="480"/>
        <w:ind w:hanging="0" w:left="0"/>
        <w:rPr>
          <w:i/>
          <w:i/>
          <w:iCs/>
          <w:u w:val="single"/>
        </w:rPr>
      </w:pPr>
      <w:r>
        <w:rPr>
          <w:i/>
          <w:iCs/>
          <w:u w:val="single"/>
        </w:rPr>
        <w:t>Irreparable harm</w:t>
      </w:r>
    </w:p>
    <w:p>
      <w:pPr>
        <w:pStyle w:val="Normal"/>
        <w:keepNext w:val="false"/>
        <w:keepLines w:val="false"/>
        <w:widowControl w:val="false"/>
        <w:numPr>
          <w:ilvl w:val="0"/>
          <w:numId w:val="3"/>
        </w:numPr>
        <w:suppressAutoHyphens w:val="true"/>
        <w:spacing w:lineRule="auto" w:line="480"/>
        <w:rPr/>
      </w:pPr>
      <w:r>
        <w:rPr>
          <w:i w:val="false"/>
          <w:iCs w:val="false"/>
        </w:rPr>
        <w:t xml:space="preserve">The Court’s appreciation of irreparable harm stems in part from the consequences of dissipation of assets, which, in turn, weighs on the balance of convenience. </w:t>
      </w:r>
    </w:p>
    <w:p>
      <w:pPr>
        <w:pStyle w:val="Normal"/>
        <w:keepNext w:val="false"/>
        <w:keepLines w:val="false"/>
        <w:widowControl w:val="false"/>
        <w:numPr>
          <w:ilvl w:val="0"/>
          <w:numId w:val="3"/>
        </w:numPr>
        <w:suppressAutoHyphens w:val="true"/>
        <w:spacing w:lineRule="auto" w:line="480"/>
        <w:rPr/>
      </w:pPr>
      <w:r>
        <w:rPr>
          <w:i w:val="false"/>
          <w:iCs w:val="false"/>
        </w:rPr>
        <w:t>Irreparable harm results when harm cannot be cured. If a party cannot recover its losses, irreparable harm exists.</w:t>
      </w:r>
      <w:r>
        <w:rPr>
          <w:rStyle w:val="FootnoteReference"/>
          <w:i w:val="false"/>
          <w:iCs w:val="false"/>
        </w:rPr>
        <w:footnoteReference w:id="24"/>
      </w:r>
      <w:r>
        <w:rPr>
          <w:i w:val="false"/>
          <w:iCs w:val="false"/>
        </w:rPr>
        <w:t xml:space="preserve"> If a defendant / respondent has already taken steps to remove assets from the jurisdiction, the Court has found that irreparable harm will result if the injunction is not granted.</w:t>
      </w:r>
      <w:r>
        <w:rPr>
          <w:rStyle w:val="FootnoteReference"/>
          <w:i w:val="false"/>
          <w:iCs w:val="false"/>
        </w:rPr>
        <w:footnoteReference w:id="25"/>
      </w:r>
      <w:r>
        <w:rPr>
          <w:i w:val="false"/>
          <w:iCs w:val="false"/>
        </w:rPr>
        <w:t xml:space="preserve"> </w:t>
      </w:r>
    </w:p>
    <w:p>
      <w:pPr>
        <w:pStyle w:val="Normal"/>
        <w:keepNext w:val="false"/>
        <w:keepLines w:val="false"/>
        <w:widowControl w:val="false"/>
        <w:suppressAutoHyphens w:val="true"/>
        <w:spacing w:lineRule="auto" w:line="480"/>
        <w:rPr>
          <w:i/>
          <w:i/>
          <w:iCs/>
          <w:u w:val="single"/>
        </w:rPr>
      </w:pPr>
      <w:r>
        <w:rPr>
          <w:i/>
          <w:iCs/>
          <w:u w:val="single"/>
        </w:rPr>
        <w:t>Balance of convenience</w:t>
      </w:r>
    </w:p>
    <w:p>
      <w:pPr>
        <w:pStyle w:val="Normal"/>
        <w:keepNext w:val="false"/>
        <w:keepLines w:val="false"/>
        <w:widowControl w:val="false"/>
        <w:numPr>
          <w:ilvl w:val="0"/>
          <w:numId w:val="3"/>
        </w:numPr>
        <w:suppressAutoHyphens w:val="true"/>
        <w:spacing w:lineRule="auto" w:line="480"/>
        <w:rPr/>
      </w:pPr>
      <w:r>
        <w:rPr>
          <w:i w:val="false"/>
          <w:iCs w:val="false"/>
        </w:rPr>
        <w:t>To balance the convenience between the parties, the Court must determine which of the parties will suffer greater harm from the Court’s decision to grant or withhold an interlocutory injunction.</w:t>
      </w:r>
      <w:r>
        <w:rPr>
          <w:rStyle w:val="FootnoteReference"/>
          <w:i w:val="false"/>
          <w:iCs w:val="false"/>
        </w:rPr>
        <w:footnoteReference w:id="26"/>
      </w:r>
      <w:r>
        <w:rPr>
          <w:i w:val="false"/>
          <w:iCs w:val="false"/>
        </w:rPr>
        <w:t xml:space="preserve"> The factors to be considered in this branch of the test vary from case to case.</w:t>
      </w:r>
      <w:r>
        <w:rPr>
          <w:rStyle w:val="FootnoteReference"/>
          <w:i w:val="false"/>
          <w:iCs w:val="false"/>
        </w:rPr>
        <w:footnoteReference w:id="27"/>
      </w:r>
      <w:r>
        <w:rPr>
          <w:i w:val="false"/>
          <w:iCs w:val="false"/>
        </w:rPr>
        <w:t xml:space="preserve"> </w:t>
      </w:r>
    </w:p>
    <w:p>
      <w:pPr>
        <w:pStyle w:val="Normal"/>
        <w:keepNext w:val="false"/>
        <w:keepLines w:val="false"/>
        <w:widowControl w:val="false"/>
        <w:numPr>
          <w:ilvl w:val="0"/>
          <w:numId w:val="3"/>
        </w:numPr>
        <w:suppressAutoHyphens w:val="true"/>
        <w:spacing w:lineRule="auto" w:line="480"/>
        <w:rPr/>
      </w:pPr>
      <w:r>
        <w:rPr>
          <w:i w:val="false"/>
          <w:iCs w:val="false"/>
        </w:rPr>
        <w:t>At this stage of the test, the manner in which the injunction is requested and its duration factor into the Court’s deliberation.</w:t>
      </w:r>
      <w:r>
        <w:rPr>
          <w:rStyle w:val="FootnoteReference"/>
          <w:i w:val="false"/>
          <w:iCs w:val="false"/>
        </w:rPr>
        <w:footnoteReference w:id="28"/>
      </w:r>
      <w:r>
        <w:rPr>
          <w:i w:val="false"/>
          <w:iCs w:val="false"/>
        </w:rPr>
        <w:t xml:space="preserve"> Sub-rule 40.02(1) of the </w:t>
      </w:r>
      <w:r>
        <w:rPr>
          <w:i/>
          <w:iCs/>
        </w:rPr>
        <w:t>Rules of Civil Procedure</w:t>
      </w:r>
      <w:r>
        <w:rPr>
          <w:i w:val="false"/>
          <w:iCs w:val="false"/>
        </w:rPr>
        <w:t xml:space="preserve"> allows the Court to grant an interlocutory injunction, such as a Mareva, on an</w:t>
      </w:r>
      <w:r>
        <w:rPr>
          <w:i/>
          <w:iCs/>
        </w:rPr>
        <w:t xml:space="preserve"> ex parte</w:t>
      </w:r>
      <w:r>
        <w:rPr>
          <w:i w:val="false"/>
          <w:iCs w:val="false"/>
        </w:rPr>
        <w:t xml:space="preserve"> motion for a period “not exceeding ten days”. The Court may thereafter extend an injunction or order obtained </w:t>
      </w:r>
      <w:r>
        <w:rPr>
          <w:i/>
          <w:iCs/>
        </w:rPr>
        <w:t>ex parte</w:t>
      </w:r>
      <w:r>
        <w:rPr>
          <w:i w:val="false"/>
          <w:iCs w:val="false"/>
        </w:rPr>
        <w:t xml:space="preserve"> for another ten days (r. 40.02[3]). Notice of an extension must be provided to the responding parties after the </w:t>
      </w:r>
      <w:r>
        <w:rPr>
          <w:i/>
          <w:iCs/>
        </w:rPr>
        <w:t xml:space="preserve">ex parte </w:t>
      </w:r>
      <w:r>
        <w:rPr>
          <w:i w:val="false"/>
          <w:iCs w:val="false"/>
        </w:rPr>
        <w:t>order is obtained (r. 40.02[2]).</w:t>
      </w:r>
    </w:p>
    <w:p>
      <w:pPr>
        <w:pStyle w:val="Normal"/>
        <w:keepNext w:val="false"/>
        <w:keepLines w:val="false"/>
        <w:widowControl w:val="false"/>
        <w:numPr>
          <w:ilvl w:val="0"/>
          <w:numId w:val="3"/>
        </w:numPr>
        <w:suppressAutoHyphens w:val="true"/>
        <w:spacing w:lineRule="auto" w:line="480"/>
        <w:rPr/>
      </w:pPr>
      <w:r>
        <w:rPr>
          <w:i w:val="false"/>
          <w:iCs w:val="false"/>
        </w:rPr>
        <w:t>When balancing the risk of dissipation against the inconvenience of having assets frozen, the Court must also consider the breadth of the order sought, whether the affected parties are afforded the right to seek access to their frozen assets, and whether a cap is placed on the frozen assets.</w:t>
      </w:r>
      <w:r>
        <w:rPr>
          <w:rStyle w:val="FootnoteReference"/>
          <w:i w:val="false"/>
          <w:iCs w:val="false"/>
        </w:rPr>
        <w:footnoteReference w:id="29"/>
      </w:r>
    </w:p>
    <w:p>
      <w:pPr>
        <w:pStyle w:val="Normal"/>
        <w:keepNext w:val="false"/>
        <w:keepLines w:val="false"/>
        <w:widowControl w:val="false"/>
        <w:suppressAutoHyphens w:val="true"/>
        <w:spacing w:lineRule="auto" w:line="480"/>
        <w:rPr/>
      </w:pPr>
      <w:r>
        <w:rPr>
          <w:b/>
          <w:bCs/>
        </w:rPr>
        <w:t>Fraud</w:t>
      </w:r>
      <w:r>
        <w:rPr/>
        <w:t xml:space="preserve"> </w:t>
      </w:r>
    </w:p>
    <w:p>
      <w:pPr>
        <w:pStyle w:val="ListParagraph"/>
        <w:keepNext w:val="false"/>
        <w:keepLines w:val="false"/>
        <w:widowControl w:val="false"/>
        <w:numPr>
          <w:ilvl w:val="0"/>
          <w:numId w:val="3"/>
        </w:numPr>
        <w:suppressAutoHyphens w:val="true"/>
        <w:spacing w:lineRule="auto" w:line="480"/>
        <w:rPr/>
      </w:pPr>
      <w:r>
        <w:rPr/>
        <w:t xml:space="preserve">To establish the tort of civil fraud, an applicant must satisfy the following elements: </w:t>
      </w:r>
    </w:p>
    <w:p>
      <w:pPr>
        <w:pStyle w:val="ListParagraph"/>
        <w:keepNext w:val="false"/>
        <w:keepLines w:val="false"/>
        <w:widowControl w:val="false"/>
        <w:numPr>
          <w:ilvl w:val="1"/>
          <w:numId w:val="3"/>
        </w:numPr>
        <w:suppressAutoHyphens w:val="true"/>
        <w:spacing w:lineRule="auto" w:line="480"/>
        <w:rPr/>
      </w:pPr>
      <w:r>
        <w:rPr/>
        <w:t xml:space="preserve">a false representation made by the respondent; </w:t>
      </w:r>
    </w:p>
    <w:p>
      <w:pPr>
        <w:pStyle w:val="ListParagraph"/>
        <w:keepNext w:val="false"/>
        <w:keepLines w:val="false"/>
        <w:widowControl w:val="false"/>
        <w:numPr>
          <w:ilvl w:val="1"/>
          <w:numId w:val="3"/>
        </w:numPr>
        <w:suppressAutoHyphens w:val="true"/>
        <w:spacing w:lineRule="auto" w:line="480"/>
        <w:rPr/>
      </w:pPr>
      <w:r>
        <w:rPr/>
        <w:t xml:space="preserve">some level of knowledge of the falsehood of the representation on the part of the respondent (whether through knowledge or recklessness); </w:t>
      </w:r>
    </w:p>
    <w:p>
      <w:pPr>
        <w:pStyle w:val="ListParagraph"/>
        <w:keepNext w:val="false"/>
        <w:keepLines w:val="false"/>
        <w:widowControl w:val="false"/>
        <w:numPr>
          <w:ilvl w:val="1"/>
          <w:numId w:val="3"/>
        </w:numPr>
        <w:suppressAutoHyphens w:val="true"/>
        <w:spacing w:lineRule="auto" w:line="480"/>
        <w:rPr/>
      </w:pPr>
      <w:r>
        <w:rPr/>
        <w:t xml:space="preserve">the false representation caused the applicant to act; and </w:t>
      </w:r>
    </w:p>
    <w:p>
      <w:pPr>
        <w:pStyle w:val="ListParagraph"/>
        <w:keepNext w:val="false"/>
        <w:keepLines w:val="false"/>
        <w:widowControl w:val="false"/>
        <w:numPr>
          <w:ilvl w:val="1"/>
          <w:numId w:val="3"/>
        </w:numPr>
        <w:suppressAutoHyphens w:val="true"/>
        <w:spacing w:lineRule="auto" w:line="480"/>
        <w:rPr/>
      </w:pPr>
      <w:r>
        <w:rPr/>
        <w:t>the applicant’s actions resulted in a loss.</w:t>
      </w:r>
      <w:r>
        <w:rPr>
          <w:rStyle w:val="FootnoteReference"/>
        </w:rPr>
        <w:footnoteReference w:id="30"/>
      </w:r>
    </w:p>
    <w:p>
      <w:pPr>
        <w:pStyle w:val="ListParagraph"/>
        <w:keepNext w:val="false"/>
        <w:keepLines w:val="false"/>
        <w:widowControl w:val="false"/>
        <w:suppressAutoHyphens w:val="true"/>
        <w:spacing w:lineRule="auto" w:line="480"/>
        <w:ind w:hanging="0" w:left="0"/>
        <w:rPr>
          <w:b/>
          <w:bCs/>
        </w:rPr>
      </w:pPr>
      <w:r>
        <w:rPr>
          <w:b/>
          <w:bCs/>
        </w:rPr>
        <w:t>Conspiracy</w:t>
      </w:r>
    </w:p>
    <w:p>
      <w:pPr>
        <w:pStyle w:val="ListParagraph"/>
        <w:keepNext w:val="false"/>
        <w:keepLines w:val="false"/>
        <w:widowControl w:val="false"/>
        <w:numPr>
          <w:ilvl w:val="0"/>
          <w:numId w:val="3"/>
        </w:numPr>
        <w:suppressAutoHyphens w:val="true"/>
        <w:spacing w:lineRule="auto" w:line="480"/>
        <w:rPr/>
      </w:pPr>
      <w:r>
        <w:rPr/>
        <w:t>The tort of conspiracy, by unlawful conduct, requires that the defendants:</w:t>
      </w:r>
    </w:p>
    <w:p>
      <w:pPr>
        <w:pStyle w:val="ListParagraph"/>
        <w:keepNext w:val="false"/>
        <w:keepLines w:val="false"/>
        <w:widowControl w:val="false"/>
        <w:numPr>
          <w:ilvl w:val="1"/>
          <w:numId w:val="3"/>
        </w:numPr>
        <w:suppressAutoHyphens w:val="true"/>
        <w:spacing w:lineRule="auto" w:line="480"/>
        <w:rPr/>
      </w:pPr>
      <w:r>
        <w:rPr/>
        <w:t>acted in combination, by agreement or with a common design;</w:t>
      </w:r>
    </w:p>
    <w:p>
      <w:pPr>
        <w:pStyle w:val="ListParagraph"/>
        <w:keepNext w:val="false"/>
        <w:keepLines w:val="false"/>
        <w:widowControl w:val="false"/>
        <w:numPr>
          <w:ilvl w:val="1"/>
          <w:numId w:val="3"/>
        </w:numPr>
        <w:suppressAutoHyphens w:val="true"/>
        <w:spacing w:lineRule="auto" w:line="480"/>
        <w:rPr/>
      </w:pPr>
      <w:r>
        <w:rPr/>
        <w:t>their conduct was unlawful;</w:t>
      </w:r>
    </w:p>
    <w:p>
      <w:pPr>
        <w:pStyle w:val="ListParagraph"/>
        <w:keepNext w:val="false"/>
        <w:keepLines w:val="false"/>
        <w:widowControl w:val="false"/>
        <w:numPr>
          <w:ilvl w:val="1"/>
          <w:numId w:val="3"/>
        </w:numPr>
        <w:suppressAutoHyphens w:val="true"/>
        <w:spacing w:lineRule="auto" w:line="480"/>
        <w:rPr/>
      </w:pPr>
      <w:r>
        <w:rPr/>
        <w:t>their conduct was directed at the plaintiff;</w:t>
      </w:r>
    </w:p>
    <w:p>
      <w:pPr>
        <w:pStyle w:val="ListParagraph"/>
        <w:keepNext w:val="false"/>
        <w:keepLines w:val="false"/>
        <w:widowControl w:val="false"/>
        <w:numPr>
          <w:ilvl w:val="1"/>
          <w:numId w:val="3"/>
        </w:numPr>
        <w:suppressAutoHyphens w:val="true"/>
        <w:spacing w:lineRule="auto" w:line="480"/>
        <w:rPr/>
      </w:pPr>
      <w:r>
        <w:rPr/>
        <w:t>the defendants knew that, in the circumstances, injury to the plaintiff would likely result; and</w:t>
      </w:r>
    </w:p>
    <w:p>
      <w:pPr>
        <w:pStyle w:val="ListParagraph"/>
        <w:keepNext w:val="false"/>
        <w:keepLines w:val="false"/>
        <w:widowControl w:val="false"/>
        <w:numPr>
          <w:ilvl w:val="1"/>
          <w:numId w:val="3"/>
        </w:numPr>
        <w:suppressAutoHyphens w:val="true"/>
        <w:spacing w:lineRule="auto" w:line="480"/>
        <w:rPr/>
      </w:pPr>
      <w:r>
        <w:rPr/>
        <w:t>the conduct caused injury to the plaintiff.</w:t>
      </w:r>
      <w:r>
        <w:rPr>
          <w:rStyle w:val="FootnoteReference"/>
        </w:rPr>
        <w:footnoteReference w:id="31"/>
      </w:r>
    </w:p>
    <w:p>
      <w:pPr>
        <w:pStyle w:val="Normal"/>
        <w:keepNext w:val="false"/>
        <w:keepLines w:val="false"/>
        <w:widowControl w:val="false"/>
        <w:suppressAutoHyphens w:val="true"/>
        <w:spacing w:lineRule="auto" w:line="480"/>
        <w:rPr>
          <w:b/>
          <w:bCs/>
          <w:lang w:eastAsia="zh-CN"/>
        </w:rPr>
      </w:pPr>
      <w:r>
        <w:rPr>
          <w:b/>
          <w:bCs/>
          <w:lang w:eastAsia="zh-CN"/>
        </w:rPr>
        <w:t>The test for a tracing order (Norwich order)</w:t>
      </w:r>
    </w:p>
    <w:p>
      <w:pPr>
        <w:pStyle w:val="ListParagraph"/>
        <w:keepNext w:val="false"/>
        <w:keepLines w:val="false"/>
        <w:widowControl w:val="false"/>
        <w:numPr>
          <w:ilvl w:val="0"/>
          <w:numId w:val="3"/>
        </w:numPr>
        <w:suppressAutoHyphens w:val="true"/>
        <w:spacing w:lineRule="auto" w:line="480"/>
        <w:rPr/>
      </w:pPr>
      <w:r>
        <w:rPr/>
        <w:t>A tracing order is a species of Norwich order, which is itself “the remedy of pre-action discovery”.</w:t>
      </w:r>
      <w:r>
        <w:rPr>
          <w:rStyle w:val="FootnoteReference"/>
        </w:rPr>
        <w:footnoteReference w:id="32"/>
      </w:r>
      <w:r>
        <w:rPr/>
        <w:t xml:space="preserve"> Such orders “require a third party to an action or potential action to disclose information that is otherwise confidential”.</w:t>
      </w:r>
      <w:r>
        <w:rPr>
          <w:rStyle w:val="FootnoteReference"/>
        </w:rPr>
        <w:footnoteReference w:id="33"/>
      </w:r>
      <w:r>
        <w:rPr/>
        <w:t xml:space="preserve"> A tracing order compels discovery of information regarding the movement of funds, typically in bank accounts.</w:t>
      </w:r>
      <w:r>
        <w:rPr>
          <w:rStyle w:val="FootnoteReference"/>
        </w:rPr>
        <w:footnoteReference w:id="34"/>
      </w:r>
      <w:r>
        <w:rPr/>
        <w:t xml:space="preserve"> Norwich orders are granted</w:t>
      </w:r>
    </w:p>
    <w:p>
      <w:pPr>
        <w:pStyle w:val="ListParagraph"/>
        <w:keepNext w:val="false"/>
        <w:keepLines w:val="false"/>
        <w:widowControl w:val="false"/>
        <w:numPr>
          <w:ilvl w:val="1"/>
          <w:numId w:val="3"/>
        </w:numPr>
        <w:suppressAutoHyphens w:val="true"/>
        <w:spacing w:lineRule="auto" w:line="480"/>
        <w:rPr/>
      </w:pPr>
      <w:r>
        <w:rPr/>
        <w:t>where the information sought is necessary to identify wrongdoers;</w:t>
      </w:r>
    </w:p>
    <w:p>
      <w:pPr>
        <w:pStyle w:val="ListParagraph"/>
        <w:keepNext w:val="false"/>
        <w:keepLines w:val="false"/>
        <w:widowControl w:val="false"/>
        <w:numPr>
          <w:ilvl w:val="1"/>
          <w:numId w:val="3"/>
        </w:numPr>
        <w:suppressAutoHyphens w:val="true"/>
        <w:spacing w:lineRule="auto" w:line="480"/>
        <w:rPr/>
      </w:pPr>
      <w:r>
        <w:rPr/>
        <w:t>to find and preserve evidence that may substantiate or support an action against either known or unknown wrongdoers, or even determine whether an action exists; and</w:t>
      </w:r>
    </w:p>
    <w:p>
      <w:pPr>
        <w:pStyle w:val="ListParagraph"/>
        <w:keepNext w:val="false"/>
        <w:keepLines w:val="false"/>
        <w:widowControl w:val="false"/>
        <w:numPr>
          <w:ilvl w:val="1"/>
          <w:numId w:val="3"/>
        </w:numPr>
        <w:suppressAutoHyphens w:val="true"/>
        <w:spacing w:lineRule="auto" w:line="480"/>
        <w:rPr/>
      </w:pPr>
      <w:r>
        <w:rPr/>
        <w:t>to trace and preserve assets.</w:t>
      </w:r>
      <w:r>
        <w:rPr>
          <w:rStyle w:val="FootnoteReference"/>
        </w:rPr>
        <w:footnoteReference w:id="35"/>
      </w:r>
    </w:p>
    <w:p>
      <w:pPr>
        <w:pStyle w:val="ListParagraph"/>
        <w:keepNext w:val="false"/>
        <w:keepLines w:val="false"/>
        <w:widowControl w:val="false"/>
        <w:numPr>
          <w:ilvl w:val="0"/>
          <w:numId w:val="3"/>
        </w:numPr>
        <w:suppressAutoHyphens w:val="true"/>
        <w:spacing w:lineRule="auto" w:line="480"/>
        <w:rPr>
          <w:i w:val="false"/>
          <w:i w:val="false"/>
          <w:iCs w:val="false"/>
        </w:rPr>
      </w:pPr>
      <w:r>
        <w:rPr>
          <w:i w:val="false"/>
          <w:iCs w:val="false"/>
        </w:rPr>
        <w:t>The test for granting a Norwich order requires the applicant to show that</w:t>
      </w:r>
    </w:p>
    <w:p>
      <w:pPr>
        <w:pStyle w:val="ListParagraph"/>
        <w:keepNext w:val="false"/>
        <w:keepLines w:val="false"/>
        <w:widowControl w:val="false"/>
        <w:numPr>
          <w:ilvl w:val="1"/>
          <w:numId w:val="3"/>
        </w:numPr>
        <w:suppressAutoHyphens w:val="true"/>
        <w:spacing w:lineRule="auto" w:line="480"/>
        <w:rPr/>
      </w:pPr>
      <w:r>
        <w:rPr>
          <w:i w:val="false"/>
          <w:iCs w:val="false"/>
        </w:rPr>
        <w:t xml:space="preserve">it has a valid, </w:t>
      </w:r>
      <w:r>
        <w:rPr>
          <w:i/>
          <w:iCs/>
        </w:rPr>
        <w:t>bona fide</w:t>
      </w:r>
      <w:r>
        <w:rPr>
          <w:i w:val="false"/>
          <w:iCs w:val="false"/>
        </w:rPr>
        <w:t>, or reasonable claim;</w:t>
      </w:r>
    </w:p>
    <w:p>
      <w:pPr>
        <w:pStyle w:val="ListParagraph"/>
        <w:keepNext w:val="false"/>
        <w:keepLines w:val="false"/>
        <w:widowControl w:val="false"/>
        <w:numPr>
          <w:ilvl w:val="1"/>
          <w:numId w:val="3"/>
        </w:numPr>
        <w:suppressAutoHyphens w:val="true"/>
        <w:spacing w:lineRule="auto" w:line="480"/>
        <w:rPr>
          <w:i w:val="false"/>
          <w:i w:val="false"/>
          <w:iCs w:val="false"/>
        </w:rPr>
      </w:pPr>
      <w:r>
        <w:rPr>
          <w:i w:val="false"/>
          <w:iCs w:val="false"/>
        </w:rPr>
        <w:t>the third parties are somehow involved in the acts complained of;</w:t>
      </w:r>
    </w:p>
    <w:p>
      <w:pPr>
        <w:pStyle w:val="ListParagraph"/>
        <w:keepNext w:val="false"/>
        <w:keepLines w:val="false"/>
        <w:widowControl w:val="false"/>
        <w:numPr>
          <w:ilvl w:val="1"/>
          <w:numId w:val="3"/>
        </w:numPr>
        <w:suppressAutoHyphens w:val="true"/>
        <w:spacing w:lineRule="auto" w:line="480"/>
        <w:rPr/>
      </w:pPr>
      <w:r>
        <w:rPr>
          <w:i w:val="false"/>
          <w:iCs w:val="false"/>
        </w:rPr>
        <w:t>the third parties are the only practicable source of the information;</w:t>
      </w:r>
    </w:p>
    <w:p>
      <w:pPr>
        <w:pStyle w:val="ListParagraph"/>
        <w:keepNext w:val="false"/>
        <w:keepLines w:val="false"/>
        <w:widowControl w:val="false"/>
        <w:numPr>
          <w:ilvl w:val="1"/>
          <w:numId w:val="3"/>
        </w:numPr>
        <w:suppressAutoHyphens w:val="true"/>
        <w:spacing w:lineRule="auto" w:line="480"/>
        <w:rPr>
          <w:i w:val="false"/>
          <w:i w:val="false"/>
          <w:iCs w:val="false"/>
        </w:rPr>
      </w:pPr>
      <w:r>
        <w:rPr>
          <w:i w:val="false"/>
          <w:iCs w:val="false"/>
        </w:rPr>
        <w:t>the third parties can be indemnified for any costs of the disclosure; and</w:t>
      </w:r>
    </w:p>
    <w:p>
      <w:pPr>
        <w:pStyle w:val="ListParagraph"/>
        <w:keepNext w:val="false"/>
        <w:keepLines w:val="false"/>
        <w:widowControl w:val="false"/>
        <w:numPr>
          <w:ilvl w:val="1"/>
          <w:numId w:val="3"/>
        </w:numPr>
        <w:suppressAutoHyphens w:val="true"/>
        <w:spacing w:lineRule="auto" w:line="480"/>
        <w:rPr/>
      </w:pPr>
      <w:r>
        <w:rPr>
          <w:i w:val="false"/>
          <w:iCs w:val="false"/>
        </w:rPr>
        <w:t>the interests of justice favour the obtaining of the disclosure.</w:t>
      </w:r>
      <w:r>
        <w:rPr>
          <w:rStyle w:val="FootnoteReference"/>
          <w:i w:val="false"/>
          <w:iCs w:val="false"/>
        </w:rPr>
        <w:footnoteReference w:id="36"/>
      </w:r>
    </w:p>
    <w:p>
      <w:pPr>
        <w:pStyle w:val="ListParagraph"/>
        <w:keepNext w:val="false"/>
        <w:keepLines w:val="false"/>
        <w:widowControl w:val="false"/>
        <w:numPr>
          <w:ilvl w:val="0"/>
          <w:numId w:val="3"/>
        </w:numPr>
        <w:suppressAutoHyphens w:val="true"/>
        <w:spacing w:lineRule="auto" w:line="480"/>
        <w:rPr/>
      </w:pPr>
      <w:r>
        <w:rPr>
          <w:i w:val="false"/>
          <w:iCs w:val="false"/>
        </w:rPr>
        <w:t>Unlike the test for a Mareva injunction, a Norwich order does not require a strong claim. It requires a claim that is not “frivolous or vexatious”. This standard is appropriate because the actual rights of an alleged tortfeasor are not being infringed.</w:t>
      </w:r>
      <w:r>
        <w:rPr>
          <w:rStyle w:val="FootnoteReference"/>
          <w:i w:val="false"/>
          <w:iCs w:val="false"/>
        </w:rPr>
        <w:footnoteReference w:id="37"/>
      </w:r>
      <w:r>
        <w:rPr>
          <w:i w:val="false"/>
          <w:iCs w:val="false"/>
        </w:rPr>
        <w:t xml:space="preserve"> If the test of a strong </w:t>
      </w:r>
      <w:r>
        <w:rPr>
          <w:i/>
          <w:iCs/>
        </w:rPr>
        <w:t xml:space="preserve">prima facie </w:t>
      </w:r>
      <w:r>
        <w:rPr>
          <w:i w:val="false"/>
          <w:iCs w:val="false"/>
        </w:rPr>
        <w:t xml:space="preserve">claim is made out in the context of a </w:t>
      </w:r>
      <w:r>
        <w:rPr/>
        <w:t>Mareva analysis, the first criteria for a Norwich order will have been fulfilled.</w:t>
      </w:r>
    </w:p>
    <w:p>
      <w:pPr>
        <w:pStyle w:val="ListParagraph"/>
        <w:keepNext w:val="false"/>
        <w:keepLines w:val="false"/>
        <w:widowControl w:val="false"/>
        <w:numPr>
          <w:ilvl w:val="0"/>
          <w:numId w:val="3"/>
        </w:numPr>
        <w:suppressAutoHyphens w:val="true"/>
        <w:spacing w:lineRule="auto" w:line="480"/>
        <w:rPr/>
      </w:pPr>
      <w:r>
        <w:rPr>
          <w:i w:val="false"/>
          <w:iCs w:val="false"/>
        </w:rPr>
        <w:t>A Norwich order will only issue if the third party’s involvement in some manner facilitated the applicant’s loss, even if the third party is not actively involved in the loss. A bank in receipt of funds that have been obtained by way of fraud is a typical example of a third party subject to a Norwich order.</w:t>
      </w:r>
      <w:r>
        <w:rPr>
          <w:rStyle w:val="FootnoteReference"/>
          <w:i w:val="false"/>
          <w:iCs w:val="false"/>
        </w:rPr>
        <w:footnoteReference w:id="38"/>
      </w:r>
      <w:r>
        <w:rPr>
          <w:i w:val="false"/>
          <w:iCs w:val="false"/>
        </w:rPr>
        <w:t xml:space="preserve"> The third party’s involvement must be more than that of a “mere witness”.</w:t>
      </w:r>
      <w:r>
        <w:rPr>
          <w:rStyle w:val="FootnoteReference"/>
          <w:i w:val="false"/>
          <w:iCs w:val="false"/>
        </w:rPr>
        <w:footnoteReference w:id="39"/>
      </w:r>
    </w:p>
    <w:p>
      <w:pPr>
        <w:pStyle w:val="ListParagraph"/>
        <w:keepNext w:val="false"/>
        <w:keepLines w:val="false"/>
        <w:widowControl w:val="false"/>
        <w:numPr>
          <w:ilvl w:val="0"/>
          <w:numId w:val="3"/>
        </w:numPr>
        <w:suppressAutoHyphens w:val="true"/>
        <w:spacing w:lineRule="auto" w:line="480"/>
        <w:rPr/>
      </w:pPr>
      <w:r>
        <w:rPr>
          <w:i w:val="false"/>
          <w:iCs w:val="false"/>
        </w:rPr>
        <w:t>The phrase “practicable source of information” must be parsed: the third party source of information must be one that can comply with the contemplated order. When, for example, the applicant is the victim of fraud, “it is unreasonable to require the applicant to approach the alleged wrongdoer for the information, and the various financial institutions become the only practicable source of the information”.</w:t>
      </w:r>
      <w:r>
        <w:rPr>
          <w:rStyle w:val="FootnoteReference"/>
          <w:i w:val="false"/>
          <w:iCs w:val="false"/>
        </w:rPr>
        <w:footnoteReference w:id="40"/>
      </w:r>
      <w:r>
        <w:rPr>
          <w:i w:val="false"/>
          <w:iCs w:val="false"/>
        </w:rPr>
        <w:t xml:space="preserve"> </w:t>
      </w:r>
    </w:p>
    <w:p>
      <w:pPr>
        <w:pStyle w:val="ListParagraph"/>
        <w:keepNext w:val="false"/>
        <w:keepLines w:val="false"/>
        <w:widowControl w:val="false"/>
        <w:numPr>
          <w:ilvl w:val="0"/>
          <w:numId w:val="3"/>
        </w:numPr>
        <w:suppressAutoHyphens w:val="true"/>
        <w:spacing w:lineRule="auto" w:line="480"/>
        <w:rPr/>
      </w:pPr>
      <w:r>
        <w:rPr>
          <w:i w:val="false"/>
          <w:iCs w:val="false"/>
        </w:rPr>
        <w:t>When a defendant / respondent is alleged to have committed fraud, a third party source of information may be the only practicable source of information.</w:t>
      </w:r>
      <w:r>
        <w:rPr>
          <w:rStyle w:val="FootnoteReference"/>
          <w:i w:val="false"/>
          <w:iCs w:val="false"/>
        </w:rPr>
        <w:footnoteReference w:id="41"/>
      </w:r>
    </w:p>
    <w:p>
      <w:pPr>
        <w:pStyle w:val="ListParagraph"/>
        <w:keepNext w:val="false"/>
        <w:keepLines w:val="false"/>
        <w:widowControl w:val="false"/>
        <w:numPr>
          <w:ilvl w:val="0"/>
          <w:numId w:val="3"/>
        </w:numPr>
        <w:suppressAutoHyphens w:val="true"/>
        <w:spacing w:lineRule="auto" w:line="480"/>
        <w:rPr/>
      </w:pPr>
      <w:r>
        <w:rPr>
          <w:i w:val="false"/>
          <w:iCs w:val="false"/>
        </w:rPr>
        <w:t>The requirement to indemnify for costs is less rigorous than the Mareva requirement to indemnify against damages, and the prospect of damages resulting from disclosure of information is lesser than damages resulting from frozen assets.</w:t>
      </w:r>
      <w:r>
        <w:rPr>
          <w:rStyle w:val="FootnoteReference"/>
          <w:i w:val="false"/>
          <w:iCs w:val="false"/>
        </w:rPr>
        <w:footnoteReference w:id="42"/>
      </w:r>
    </w:p>
    <w:p>
      <w:pPr>
        <w:pStyle w:val="ListParagraph"/>
        <w:keepNext w:val="false"/>
        <w:keepLines w:val="false"/>
        <w:widowControl w:val="false"/>
        <w:numPr>
          <w:ilvl w:val="0"/>
          <w:numId w:val="3"/>
        </w:numPr>
        <w:suppressAutoHyphens w:val="true"/>
        <w:spacing w:lineRule="auto" w:line="480"/>
        <w:rPr/>
      </w:pPr>
      <w:r>
        <w:rPr>
          <w:i w:val="false"/>
          <w:iCs w:val="false"/>
        </w:rPr>
        <w:t xml:space="preserve">The interest of justice when contemplating Norwich orders balance the prejudice put upon the alleged tortfeasors from disclosure of confidential information against the applicant’s right to pursue its legal remedies by obtaining information. In cases of fraud that require disclosure of bank records, the privacy of bank records is not absolute. Intrusion upon this aspect of a person’s privacy will nevertheless be limited by the terms of the Norwich order. Such orders often include a proviso akin to the deemed undertaking rule found in sub-rule 30.1.01(3) of the </w:t>
      </w:r>
      <w:r>
        <w:rPr>
          <w:i/>
          <w:iCs/>
        </w:rPr>
        <w:t>Rules of Civil Procedure</w:t>
      </w:r>
      <w:r>
        <w:rPr>
          <w:i w:val="false"/>
          <w:iCs w:val="false"/>
        </w:rPr>
        <w:t>.</w:t>
      </w:r>
      <w:r>
        <w:rPr>
          <w:rStyle w:val="FootnoteReference"/>
          <w:i w:val="false"/>
          <w:iCs w:val="false"/>
        </w:rPr>
        <w:footnoteReference w:id="43"/>
      </w:r>
    </w:p>
    <w:p>
      <w:pPr>
        <w:pStyle w:val="ListParagraph"/>
        <w:keepNext w:val="false"/>
        <w:keepLines w:val="false"/>
        <w:widowControl w:val="false"/>
        <w:suppressAutoHyphens w:val="true"/>
        <w:spacing w:lineRule="auto" w:line="480"/>
        <w:ind w:hanging="0" w:left="0"/>
        <w:rPr>
          <w:b/>
          <w:bCs/>
          <w:i w:val="false"/>
          <w:i w:val="false"/>
          <w:iCs w:val="false"/>
          <w:u w:val="single"/>
        </w:rPr>
      </w:pPr>
      <w:r>
        <w:rPr>
          <w:b/>
          <w:bCs/>
          <w:i w:val="false"/>
          <w:iCs w:val="false"/>
          <w:u w:val="single"/>
        </w:rPr>
        <w:t>Application of law to the issues / discussion</w:t>
      </w:r>
    </w:p>
    <w:p>
      <w:pPr>
        <w:pStyle w:val="ListParagraph"/>
        <w:keepNext w:val="false"/>
        <w:keepLines w:val="false"/>
        <w:widowControl w:val="false"/>
        <w:numPr>
          <w:ilvl w:val="0"/>
          <w:numId w:val="3"/>
        </w:numPr>
        <w:suppressAutoHyphens w:val="true"/>
        <w:spacing w:lineRule="auto" w:line="480"/>
        <w:rPr>
          <w:i w:val="false"/>
          <w:i w:val="false"/>
          <w:iCs w:val="false"/>
        </w:rPr>
      </w:pPr>
      <w:r>
        <w:rPr>
          <w:i w:val="false"/>
          <w:iCs w:val="false"/>
        </w:rPr>
        <w:t xml:space="preserve">The Mareva injunctions are appropriate, as are the Norwich orders. They each serve the interest of justice by minimally impairing the respondents’ respective rights to dispose of their assets and privacy. </w:t>
      </w:r>
    </w:p>
    <w:p>
      <w:pPr>
        <w:pStyle w:val="Normal"/>
        <w:keepNext w:val="false"/>
        <w:keepLines w:val="false"/>
        <w:widowControl w:val="false"/>
        <w:suppressAutoHyphens w:val="true"/>
        <w:overflowPunct w:val="false"/>
        <w:bidi w:val="0"/>
        <w:spacing w:lineRule="auto" w:line="480" w:before="0" w:after="0"/>
        <w:ind w:hanging="0" w:left="0" w:right="0"/>
        <w:jc w:val="left"/>
        <w:rPr/>
      </w:pPr>
      <w:r>
        <w:rPr>
          <w:b/>
          <w:bCs/>
        </w:rPr>
        <w:t>S</w:t>
      </w:r>
      <w:r>
        <w:rPr>
          <w:b/>
          <w:bCs/>
        </w:rPr>
        <w:t xml:space="preserve">hould a Mareva injunction be </w:t>
      </w:r>
      <w:r>
        <w:rPr>
          <w:b/>
          <w:bCs/>
        </w:rPr>
        <w:t>issued against the defendants?</w:t>
      </w:r>
    </w:p>
    <w:p>
      <w:pPr>
        <w:pStyle w:val="ListParagraph"/>
        <w:keepNext w:val="false"/>
        <w:keepLines w:val="false"/>
        <w:widowControl w:val="false"/>
        <w:numPr>
          <w:ilvl w:val="0"/>
          <w:numId w:val="3"/>
        </w:numPr>
        <w:suppressAutoHyphens w:val="true"/>
        <w:spacing w:lineRule="auto" w:line="480"/>
        <w:rPr>
          <w:i w:val="false"/>
          <w:i w:val="false"/>
          <w:iCs w:val="false"/>
        </w:rPr>
      </w:pPr>
      <w:r>
        <w:rPr/>
      </w:r>
    </w:p>
    <w:p>
      <w:pPr>
        <w:pStyle w:val="Normal"/>
        <w:keepNext w:val="false"/>
        <w:keepLines w:val="false"/>
        <w:widowControl w:val="false"/>
        <w:suppressAutoHyphens w:val="true"/>
        <w:spacing w:lineRule="auto" w:line="480"/>
        <w:rPr>
          <w:b/>
          <w:bCs/>
        </w:rPr>
      </w:pPr>
      <w:r>
        <w:rPr>
          <w:b/>
          <w:bCs/>
          <w:i w:val="false"/>
          <w:iCs w:val="false"/>
        </w:rPr>
        <w:t>If a Mareva injunction issues, what are the terms of this injunction?</w:t>
      </w:r>
    </w:p>
    <w:p>
      <w:pPr>
        <w:pStyle w:val="ListParagraph"/>
        <w:widowControl w:val="false"/>
        <w:numPr>
          <w:ilvl w:val="0"/>
          <w:numId w:val="3"/>
        </w:numPr>
        <w:suppressAutoHyphens w:val="true"/>
        <w:spacing w:lineRule="auto" w:line="480"/>
        <w:rPr>
          <w:i w:val="false"/>
          <w:i w:val="false"/>
          <w:iCs w:val="false"/>
        </w:rPr>
      </w:pPr>
      <w:r>
        <w:rPr/>
      </w:r>
    </w:p>
    <w:p>
      <w:pPr>
        <w:pStyle w:val="Normal"/>
        <w:keepNext w:val="false"/>
        <w:keepLines w:val="false"/>
        <w:widowControl w:val="false"/>
        <w:suppressAutoHyphens w:val="true"/>
        <w:spacing w:lineRule="auto" w:line="480"/>
        <w:rPr>
          <w:b/>
          <w:bCs/>
        </w:rPr>
      </w:pPr>
      <w:r>
        <w:rPr>
          <w:b/>
          <w:bCs/>
          <w:i w:val="false"/>
          <w:iCs w:val="false"/>
        </w:rPr>
        <w:t>S</w:t>
      </w:r>
      <w:r>
        <w:rPr>
          <w:b/>
          <w:bCs/>
          <w:i w:val="false"/>
          <w:iCs w:val="false"/>
        </w:rPr>
        <w:t xml:space="preserve">hould a Norwich order issue to all financial institutions to require disclosure of </w:t>
      </w:r>
      <w:r>
        <w:rPr>
          <w:b/>
          <w:bCs/>
          <w:i w:val="false"/>
          <w:iCs w:val="false"/>
        </w:rPr>
        <w:t>the defendants</w:t>
      </w:r>
      <w:r>
        <w:rPr>
          <w:b/>
          <w:bCs/>
          <w:i w:val="false"/>
          <w:iCs w:val="false"/>
        </w:rPr>
        <w:t xml:space="preserve">’ transaction histories </w:t>
      </w:r>
      <w:r>
        <w:rPr>
          <w:b/>
          <w:bCs/>
          <w:i w:val="false"/>
          <w:iCs w:val="false"/>
        </w:rPr>
        <w:t>and a tracing of the plaintiff’s funds</w:t>
      </w:r>
      <w:r>
        <w:rPr>
          <w:b/>
          <w:bCs/>
          <w:i w:val="false"/>
          <w:iCs w:val="false"/>
        </w:rPr>
        <w:t>?</w:t>
      </w:r>
    </w:p>
    <w:p>
      <w:pPr>
        <w:pStyle w:val="ListParagraph"/>
        <w:keepNext w:val="false"/>
        <w:keepLines w:val="false"/>
        <w:widowControl w:val="false"/>
        <w:numPr>
          <w:ilvl w:val="0"/>
          <w:numId w:val="3"/>
        </w:numPr>
        <w:suppressAutoHyphens w:val="true"/>
        <w:spacing w:lineRule="auto" w:line="480"/>
        <w:rPr>
          <w:i w:val="false"/>
          <w:i w:val="false"/>
          <w:iCs w:val="false"/>
        </w:rPr>
      </w:pPr>
      <w:r>
        <w:rPr/>
      </w:r>
    </w:p>
    <w:p>
      <w:pPr>
        <w:pStyle w:val="ListParagraph"/>
        <w:keepNext w:val="false"/>
        <w:keepLines w:val="false"/>
        <w:widowControl w:val="false"/>
        <w:numPr>
          <w:ilvl w:val="0"/>
          <w:numId w:val="3"/>
        </w:numPr>
        <w:suppressAutoHyphens w:val="true"/>
        <w:spacing w:lineRule="auto" w:line="480"/>
        <w:rPr>
          <w:i w:val="false"/>
          <w:i w:val="false"/>
          <w:iCs w:val="false"/>
        </w:rPr>
      </w:pPr>
      <w:r>
        <w:rPr>
          <w:i w:val="false"/>
          <w:iCs w:val="false"/>
        </w:rPr>
        <w:t xml:space="preserve">The </w:t>
      </w:r>
      <w:r>
        <w:rPr>
          <w:i w:val="false"/>
          <w:iCs w:val="false"/>
        </w:rPr>
        <w:t>defendants</w:t>
      </w:r>
      <w:r>
        <w:rPr>
          <w:i w:val="false"/>
          <w:iCs w:val="false"/>
        </w:rPr>
        <w:t xml:space="preserve">’ transaction histories </w:t>
      </w:r>
      <w:r>
        <w:rPr>
          <w:i w:val="false"/>
          <w:iCs w:val="false"/>
        </w:rPr>
        <w:t>and a tracing of funds</w:t>
      </w:r>
      <w:r>
        <w:rPr>
          <w:i w:val="false"/>
          <w:iCs w:val="false"/>
        </w:rPr>
        <w:t xml:space="preserve"> are necessary part</w:t>
      </w:r>
      <w:r>
        <w:rPr>
          <w:i w:val="false"/>
          <w:iCs w:val="false"/>
        </w:rPr>
        <w:t>s</w:t>
      </w:r>
      <w:r>
        <w:rPr>
          <w:i w:val="false"/>
          <w:iCs w:val="false"/>
        </w:rPr>
        <w:t xml:space="preserve"> of th</w:t>
      </w:r>
      <w:r>
        <w:rPr>
          <w:i w:val="false"/>
          <w:iCs w:val="false"/>
        </w:rPr>
        <w:t>is</w:t>
      </w:r>
      <w:r>
        <w:rPr>
          <w:i w:val="false"/>
          <w:iCs w:val="false"/>
        </w:rPr>
        <w:t xml:space="preserve"> litigation.</w:t>
      </w:r>
    </w:p>
    <w:p>
      <w:pPr>
        <w:pStyle w:val="ListParagraph"/>
        <w:widowControl w:val="false"/>
        <w:numPr>
          <w:ilvl w:val="0"/>
          <w:numId w:val="3"/>
        </w:numPr>
        <w:suppressAutoHyphens w:val="true"/>
        <w:spacing w:lineRule="auto" w:line="480"/>
        <w:rPr>
          <w:i w:val="false"/>
          <w:i w:val="false"/>
          <w:iCs w:val="false"/>
        </w:rPr>
      </w:pPr>
      <w:r>
        <w:rPr>
          <w:i w:val="false"/>
          <w:iCs w:val="false"/>
        </w:rPr>
        <w:t>The defendants’ transaction histories must</w:t>
      </w:r>
      <w:r>
        <w:rPr>
          <w:i w:val="false"/>
          <w:iCs w:val="false"/>
        </w:rPr>
        <w:t xml:space="preserve"> must be reviewed to determine whether </w:t>
      </w:r>
      <w:r>
        <w:rPr>
          <w:i w:val="false"/>
          <w:iCs w:val="false"/>
        </w:rPr>
        <w:t xml:space="preserve">a </w:t>
      </w:r>
      <w:r>
        <w:rPr>
          <w:i w:val="false"/>
          <w:iCs w:val="false"/>
        </w:rPr>
        <w:t xml:space="preserve">pattern of </w:t>
      </w:r>
      <w:r>
        <w:rPr>
          <w:i w:val="false"/>
          <w:iCs w:val="false"/>
        </w:rPr>
        <w:t xml:space="preserve">transactions exists that raises red flags for fraud, money laundering, or any other illicit conduct. These red flags may be cause for further expert review to assist the Court in efficiently adjudicating the underlying litigation. </w:t>
      </w:r>
    </w:p>
    <w:p>
      <w:pPr>
        <w:pStyle w:val="ListParagraph"/>
        <w:widowControl w:val="false"/>
        <w:numPr>
          <w:ilvl w:val="0"/>
          <w:numId w:val="3"/>
        </w:numPr>
        <w:suppressAutoHyphens w:val="true"/>
        <w:spacing w:lineRule="auto" w:line="480"/>
        <w:rPr>
          <w:i w:val="false"/>
          <w:i w:val="false"/>
          <w:iCs w:val="false"/>
        </w:rPr>
      </w:pPr>
      <w:r>
        <w:rPr>
          <w:i w:val="false"/>
          <w:iCs w:val="false"/>
        </w:rPr>
        <w:t xml:space="preserve">A tracing of funds, which includes reviewing the defendants’ transaction histories, is required to determine whether the defendants have retained control of the plaintiff’s funds. </w:t>
      </w:r>
    </w:p>
    <w:p>
      <w:pPr>
        <w:pStyle w:val="ListParagraph"/>
        <w:keepNext w:val="false"/>
        <w:keepLines w:val="false"/>
        <w:widowControl w:val="false"/>
        <w:numPr>
          <w:ilvl w:val="0"/>
          <w:numId w:val="3"/>
        </w:numPr>
        <w:suppressAutoHyphens w:val="true"/>
        <w:spacing w:lineRule="auto" w:line="480"/>
        <w:rPr>
          <w:i w:val="false"/>
          <w:i w:val="false"/>
          <w:iCs w:val="false"/>
        </w:rPr>
      </w:pPr>
      <w:r>
        <w:rPr>
          <w:i w:val="false"/>
          <w:iCs w:val="false"/>
        </w:rPr>
        <w:t xml:space="preserve">Canadian financial institutions are the best placed to disclose these records in a practicable way and timeframe. </w:t>
      </w:r>
    </w:p>
    <w:p>
      <w:pPr>
        <w:pStyle w:val="ListParagraph"/>
        <w:keepNext w:val="false"/>
        <w:keepLines w:val="false"/>
        <w:widowControl w:val="false"/>
        <w:numPr>
          <w:ilvl w:val="0"/>
          <w:numId w:val="3"/>
        </w:numPr>
        <w:suppressAutoHyphens w:val="true"/>
        <w:spacing w:lineRule="auto" w:line="480"/>
        <w:rPr>
          <w:i w:val="false"/>
          <w:i w:val="false"/>
          <w:iCs w:val="false"/>
        </w:rPr>
      </w:pPr>
      <w:r>
        <w:rPr>
          <w:i w:val="false"/>
          <w:iCs w:val="false"/>
        </w:rPr>
        <w:t xml:space="preserve">The applicant can, but argues that she should not, indemnify financial institutions for the cost of this disclosure. </w:t>
      </w:r>
    </w:p>
    <w:p>
      <w:pPr>
        <w:pStyle w:val="ListParagraph"/>
        <w:keepNext w:val="false"/>
        <w:keepLines w:val="false"/>
        <w:widowControl w:val="false"/>
        <w:numPr>
          <w:ilvl w:val="0"/>
          <w:numId w:val="3"/>
        </w:numPr>
        <w:suppressAutoHyphens w:val="true"/>
        <w:spacing w:lineRule="auto" w:line="480"/>
        <w:rPr>
          <w:i w:val="false"/>
          <w:i w:val="false"/>
          <w:iCs w:val="false"/>
        </w:rPr>
      </w:pPr>
      <w:r>
        <w:rPr>
          <w:i w:val="false"/>
          <w:iCs w:val="false"/>
        </w:rPr>
        <w:t xml:space="preserve">The requested disclosure </w:t>
      </w:r>
      <w:r>
        <w:rPr>
          <w:i w:val="false"/>
          <w:iCs w:val="false"/>
        </w:rPr>
        <w:t>does not unduly impinge on the defendants’ privacy. The plaintiff only asks for disclosure of records that begin when the plaintiff interacts with the defendant to the present-day.</w:t>
      </w:r>
      <w:r>
        <w:rPr>
          <w:i w:val="false"/>
          <w:iCs w:val="false"/>
        </w:rPr>
        <w:t xml:space="preserve"> This timeframe balances the respondents’ right to privacy against the probative value of the evidence sought. </w:t>
      </w:r>
    </w:p>
    <w:p>
      <w:pPr>
        <w:pStyle w:val="ListParagraph"/>
        <w:keepNext w:val="false"/>
        <w:keepLines w:val="false"/>
        <w:widowControl w:val="false"/>
        <w:numPr>
          <w:ilvl w:val="0"/>
          <w:numId w:val="3"/>
        </w:numPr>
        <w:suppressAutoHyphens w:val="true"/>
        <w:spacing w:lineRule="auto" w:line="480"/>
        <w:rPr/>
      </w:pPr>
      <w:r>
        <w:rPr>
          <w:i w:val="false"/>
          <w:iCs w:val="false"/>
        </w:rPr>
        <w:t xml:space="preserve">The interests of justice favour obtaining the disclosure of these records, for there is a strong </w:t>
      </w:r>
      <w:r>
        <w:rPr>
          <w:i/>
          <w:iCs/>
        </w:rPr>
        <w:t xml:space="preserve">prima facie </w:t>
      </w:r>
      <w:r>
        <w:rPr>
          <w:i w:val="false"/>
          <w:iCs w:val="false"/>
        </w:rPr>
        <w:t xml:space="preserve">case for fraud against the respondents, and the facts disclose a pattern of illicit financial dealings. </w:t>
      </w:r>
    </w:p>
    <w:p>
      <w:pPr>
        <w:pStyle w:val="ListParagraph"/>
        <w:keepNext w:val="false"/>
        <w:keepLines w:val="false"/>
        <w:widowControl w:val="false"/>
        <w:suppressAutoHyphens w:val="true"/>
        <w:spacing w:lineRule="auto" w:line="480"/>
        <w:ind w:hanging="0" w:left="0"/>
        <w:rPr>
          <w:b/>
          <w:bCs/>
          <w:i w:val="false"/>
          <w:i w:val="false"/>
          <w:iCs w:val="false"/>
        </w:rPr>
      </w:pPr>
      <w:r>
        <w:rPr>
          <w:b/>
          <w:bCs/>
          <w:i w:val="false"/>
          <w:iCs w:val="false"/>
        </w:rPr>
        <w:t>PART V – REQUESTED RELIEF</w:t>
      </w:r>
    </w:p>
    <w:p>
      <w:pPr>
        <w:pStyle w:val="ListParagraph"/>
        <w:keepNext w:val="false"/>
        <w:keepLines w:val="false"/>
        <w:widowControl w:val="false"/>
        <w:numPr>
          <w:ilvl w:val="0"/>
          <w:numId w:val="3"/>
        </w:numPr>
        <w:suppressAutoHyphens w:val="true"/>
        <w:spacing w:lineRule="auto" w:line="480"/>
        <w:rPr>
          <w:i w:val="false"/>
          <w:i w:val="false"/>
          <w:iCs w:val="false"/>
        </w:rPr>
      </w:pPr>
      <w:r>
        <w:rPr>
          <w:i w:val="false"/>
          <w:iCs w:val="false"/>
        </w:rPr>
        <w:t>The applicant asks that an order issue substantially in the form of the order included as schedule C.</w:t>
      </w:r>
      <w:r>
        <w:br w:type="page"/>
      </w:r>
    </w:p>
    <w:p>
      <w:pPr>
        <w:pStyle w:val="zheadingx-e"/>
        <w:spacing w:lineRule="auto" w:line="276" w:before="0" w:after="0"/>
        <w:rPr>
          <w:rFonts w:ascii="Times New Roman" w:hAnsi="Times New Roman"/>
          <w:b/>
          <w:bCs/>
          <w:sz w:val="24"/>
          <w:szCs w:val="24"/>
        </w:rPr>
      </w:pPr>
      <w:r>
        <w:rPr>
          <w:rFonts w:ascii="Times New Roman" w:hAnsi="Times New Roman"/>
          <w:b/>
          <w:bCs/>
          <w:sz w:val="24"/>
          <w:szCs w:val="24"/>
        </w:rPr>
        <w:t>Schedule A</w:t>
      </w:r>
      <w:bookmarkStart w:id="0" w:name="__DdeLink__1731_3669901430"/>
    </w:p>
    <w:p>
      <w:pPr>
        <w:pStyle w:val="zheadingx-e"/>
        <w:spacing w:lineRule="auto" w:line="276" w:before="0" w:after="0"/>
        <w:rPr>
          <w:rFonts w:ascii="Times New Roman" w:hAnsi="Times New Roman"/>
          <w:b w:val="false"/>
          <w:bCs w:val="false"/>
          <w:sz w:val="24"/>
          <w:szCs w:val="24"/>
        </w:rPr>
      </w:pPr>
      <w:r>
        <w:rPr>
          <w:rFonts w:ascii="Times New Roman" w:hAnsi="Times New Roman"/>
          <w:b w:val="false"/>
          <w:bCs w:val="false"/>
          <w:sz w:val="24"/>
          <w:szCs w:val="24"/>
        </w:rPr>
        <w:t>Authorities</w:t>
      </w:r>
    </w:p>
    <w:p>
      <w:pPr>
        <w:pStyle w:val="zheadingx-e"/>
        <w:spacing w:lineRule="auto" w:line="276" w:before="0" w:after="0"/>
        <w:rPr>
          <w:rFonts w:ascii="Times New Roman" w:hAnsi="Times New Roman"/>
          <w:b w:val="false"/>
          <w:bCs w:val="false"/>
          <w:sz w:val="24"/>
          <w:szCs w:val="24"/>
        </w:rPr>
      </w:pPr>
      <w:r>
        <w:rPr>
          <w:rFonts w:ascii="Times New Roman" w:hAnsi="Times New Roman"/>
          <w:b w:val="false"/>
          <w:bCs w:val="false"/>
          <w:sz w:val="24"/>
          <w:szCs w:val="24"/>
        </w:rPr>
      </w:r>
    </w:p>
    <w:p>
      <w:pPr>
        <w:pStyle w:val="Normal"/>
        <w:jc w:val="left"/>
        <w:rPr>
          <w:rFonts w:ascii="Times New Roman" w:hAnsi="Times New Roman"/>
          <w:szCs w:val="24"/>
        </w:rPr>
      </w:pPr>
      <w:r>
        <w:rPr>
          <w:szCs w:val="24"/>
        </w:rPr>
      </w:r>
    </w:p>
    <w:p>
      <w:pPr>
        <w:pStyle w:val="Normal"/>
        <w:jc w:val="left"/>
        <w:rPr>
          <w:rFonts w:ascii="Liberation Serif" w:hAnsi="Liberation Serif"/>
        </w:rPr>
      </w:pPr>
      <w:r>
        <w:rPr>
          <w:i/>
          <w:iCs/>
          <w:color w:val="000000"/>
          <w:szCs w:val="24"/>
          <w:u w:val="single"/>
        </w:rPr>
        <w:t>Statues and regulations</w:t>
      </w:r>
    </w:p>
    <w:p>
      <w:pPr>
        <w:pStyle w:val="Normal"/>
        <w:jc w:val="left"/>
        <w:rPr>
          <w:rFonts w:ascii="Times New Roman" w:hAnsi="Times New Roman"/>
          <w:szCs w:val="24"/>
        </w:rPr>
      </w:pPr>
      <w:r>
        <w:rPr>
          <w:szCs w:val="24"/>
        </w:rPr>
      </w:r>
    </w:p>
    <w:p>
      <w:pPr>
        <w:pStyle w:val="FootnoteText"/>
        <w:bidi w:val="0"/>
        <w:jc w:val="left"/>
        <w:rPr>
          <w:rFonts w:ascii="Liberation Serif" w:hAnsi="Liberation Serif"/>
        </w:rPr>
      </w:pPr>
      <w:r>
        <w:rPr>
          <w:i/>
          <w:sz w:val="24"/>
          <w:szCs w:val="24"/>
        </w:rPr>
        <w:t>Rules of Civil Procedure</w:t>
      </w:r>
      <w:r>
        <w:rPr>
          <w:sz w:val="24"/>
          <w:szCs w:val="24"/>
        </w:rPr>
        <w:t xml:space="preserve">, </w:t>
      </w:r>
      <w:hyperlink r:id="rId2">
        <w:r>
          <w:rPr>
            <w:rStyle w:val="Hyperlink"/>
            <w:color w:val="000080"/>
            <w:sz w:val="24"/>
            <w:szCs w:val="24"/>
            <w:u w:val="single"/>
          </w:rPr>
          <w:t>RRO 1990, Reg 194</w:t>
        </w:r>
      </w:hyperlink>
      <w:r>
        <w:rPr>
          <w:sz w:val="24"/>
          <w:szCs w:val="24"/>
        </w:rPr>
        <w:t>.</w:t>
      </w:r>
    </w:p>
    <w:p>
      <w:pPr>
        <w:pStyle w:val="FootnoteText"/>
        <w:bidi w:val="0"/>
        <w:jc w:val="left"/>
        <w:rPr>
          <w:rFonts w:ascii="Liberation Serif" w:hAnsi="Liberation Serif"/>
        </w:rPr>
      </w:pPr>
      <w:r>
        <w:rPr>
          <w:i/>
          <w:sz w:val="24"/>
          <w:szCs w:val="24"/>
        </w:rPr>
        <w:t>Proceeds of Crime (Money Laundering) and Terrorist Financing Act</w:t>
      </w:r>
      <w:r>
        <w:rPr>
          <w:sz w:val="24"/>
          <w:szCs w:val="24"/>
        </w:rPr>
        <w:t xml:space="preserve">, </w:t>
      </w:r>
      <w:hyperlink r:id="rId3">
        <w:r>
          <w:rPr>
            <w:rStyle w:val="Hyperlink"/>
            <w:color w:val="000080"/>
            <w:sz w:val="24"/>
            <w:szCs w:val="24"/>
            <w:u w:val="single"/>
          </w:rPr>
          <w:t>SC 2000, c 17</w:t>
        </w:r>
      </w:hyperlink>
      <w:r>
        <w:rPr>
          <w:i/>
          <w:iCs/>
          <w:color w:val="000000"/>
          <w:sz w:val="24"/>
          <w:szCs w:val="24"/>
          <w:u w:val="single"/>
        </w:rPr>
        <w:t>.</w:t>
      </w:r>
    </w:p>
    <w:p>
      <w:pPr>
        <w:pStyle w:val="Normal"/>
        <w:jc w:val="left"/>
        <w:rPr>
          <w:rFonts w:ascii="Times New Roman" w:hAnsi="Times New Roman"/>
          <w:szCs w:val="24"/>
        </w:rPr>
      </w:pPr>
      <w:r>
        <w:rPr>
          <w:szCs w:val="24"/>
        </w:rPr>
      </w:r>
    </w:p>
    <w:p>
      <w:pPr>
        <w:pStyle w:val="Normal"/>
        <w:jc w:val="left"/>
        <w:rPr>
          <w:rFonts w:ascii="Liberation Serif" w:hAnsi="Liberation Serif"/>
        </w:rPr>
      </w:pPr>
      <w:r>
        <w:rPr>
          <w:i/>
          <w:iCs/>
          <w:color w:val="000000"/>
          <w:szCs w:val="24"/>
          <w:u w:val="single"/>
        </w:rPr>
        <w:t>Case law</w:t>
      </w:r>
    </w:p>
    <w:p>
      <w:pPr>
        <w:pStyle w:val="Normal"/>
        <w:jc w:val="left"/>
        <w:rPr>
          <w:rFonts w:ascii="Times New Roman" w:hAnsi="Times New Roman"/>
          <w:szCs w:val="24"/>
        </w:rPr>
      </w:pPr>
      <w:r>
        <w:rPr>
          <w:szCs w:val="24"/>
        </w:rPr>
      </w:r>
    </w:p>
    <w:p>
      <w:pPr>
        <w:pStyle w:val="FootnoteText"/>
        <w:bidi w:val="0"/>
        <w:jc w:val="left"/>
        <w:rPr>
          <w:rFonts w:ascii="Liberation Serif" w:hAnsi="Liberation Serif"/>
        </w:rPr>
      </w:pPr>
      <w:r>
        <w:rPr>
          <w:i/>
          <w:sz w:val="24"/>
          <w:szCs w:val="24"/>
        </w:rPr>
        <w:t>1654776 Ontario v. Stewart and The Globe and Mail,</w:t>
      </w:r>
      <w:r>
        <w:rPr>
          <w:i w:val="false"/>
          <w:iCs w:val="false"/>
          <w:sz w:val="24"/>
          <w:szCs w:val="24"/>
        </w:rPr>
        <w:t xml:space="preserve"> </w:t>
      </w:r>
      <w:hyperlink r:id="rId4">
        <w:r>
          <w:rPr>
            <w:rStyle w:val="Hyperlink"/>
            <w:i w:val="false"/>
            <w:iCs w:val="false"/>
            <w:color w:val="000080"/>
            <w:sz w:val="24"/>
            <w:szCs w:val="24"/>
            <w:u w:val="single"/>
          </w:rPr>
          <w:t>2012 ONSC 1991</w:t>
        </w:r>
      </w:hyperlink>
      <w:r>
        <w:rPr>
          <w:i w:val="false"/>
          <w:iCs w:val="false"/>
          <w:sz w:val="24"/>
          <w:szCs w:val="24"/>
        </w:rPr>
        <w:t>.</w:t>
      </w:r>
    </w:p>
    <w:p>
      <w:pPr>
        <w:pStyle w:val="FootnoteText"/>
        <w:bidi w:val="0"/>
        <w:jc w:val="left"/>
        <w:rPr>
          <w:rFonts w:ascii="Liberation Serif" w:hAnsi="Liberation Serif"/>
        </w:rPr>
      </w:pPr>
      <w:r>
        <w:rPr>
          <w:rFonts w:ascii="Times new roman" w:hAnsi="Times new roman"/>
          <w:i/>
          <w:sz w:val="24"/>
          <w:szCs w:val="24"/>
        </w:rPr>
        <w:t xml:space="preserve">Aetna Financial Services Ltd. v Feigelman, </w:t>
      </w:r>
      <w:hyperlink r:id="rId5">
        <w:r>
          <w:rPr>
            <w:rStyle w:val="Hyperlink"/>
            <w:rFonts w:ascii="Times new roman" w:hAnsi="Times new roman"/>
            <w:i w:val="false"/>
            <w:iCs w:val="false"/>
            <w:color w:val="000080"/>
            <w:sz w:val="24"/>
            <w:szCs w:val="24"/>
            <w:u w:val="single"/>
          </w:rPr>
          <w:t xml:space="preserve">1985 CanLII 55 </w:t>
        </w:r>
      </w:hyperlink>
      <w:r>
        <w:rPr>
          <w:rFonts w:ascii="Times new roman" w:hAnsi="Times new roman"/>
          <w:i w:val="false"/>
          <w:iCs w:val="false"/>
          <w:sz w:val="24"/>
          <w:szCs w:val="24"/>
        </w:rPr>
        <w:t>(SCC).</w:t>
      </w:r>
    </w:p>
    <w:p>
      <w:pPr>
        <w:pStyle w:val="FootnoteText"/>
        <w:bidi w:val="0"/>
        <w:jc w:val="left"/>
        <w:rPr>
          <w:rFonts w:ascii="Liberation Serif" w:hAnsi="Liberation Serif"/>
        </w:rPr>
      </w:pPr>
      <w:r>
        <w:rPr>
          <w:i/>
          <w:sz w:val="24"/>
          <w:szCs w:val="24"/>
        </w:rPr>
        <w:t>Bell Canada v Rogers Communications Inc.</w:t>
      </w:r>
      <w:r>
        <w:rPr>
          <w:sz w:val="24"/>
          <w:szCs w:val="24"/>
        </w:rPr>
        <w:t xml:space="preserve">, </w:t>
      </w:r>
      <w:hyperlink r:id="rId6">
        <w:r>
          <w:rPr>
            <w:rStyle w:val="Hyperlink"/>
            <w:color w:val="000080"/>
            <w:sz w:val="24"/>
            <w:szCs w:val="24"/>
            <w:u w:val="single"/>
          </w:rPr>
          <w:t xml:space="preserve">2009 CanLII 39481 </w:t>
        </w:r>
      </w:hyperlink>
      <w:r>
        <w:rPr>
          <w:sz w:val="24"/>
          <w:szCs w:val="24"/>
        </w:rPr>
        <w:t>(ON SC).</w:t>
      </w:r>
    </w:p>
    <w:p>
      <w:pPr>
        <w:pStyle w:val="FootnoteText"/>
        <w:bidi w:val="0"/>
        <w:jc w:val="left"/>
        <w:rPr>
          <w:rFonts w:ascii="Liberation Serif" w:hAnsi="Liberation Serif"/>
        </w:rPr>
      </w:pPr>
      <w:r>
        <w:rPr>
          <w:i/>
          <w:sz w:val="24"/>
          <w:szCs w:val="24"/>
        </w:rPr>
        <w:t>Bruno Appliance and Furniture Inc v Hryniak,</w:t>
      </w:r>
      <w:r>
        <w:rPr>
          <w:i w:val="false"/>
          <w:iCs w:val="false"/>
          <w:sz w:val="24"/>
          <w:szCs w:val="24"/>
        </w:rPr>
        <w:t xml:space="preserve"> </w:t>
      </w:r>
      <w:hyperlink r:id="rId7">
        <w:r>
          <w:rPr>
            <w:rStyle w:val="Hyperlink"/>
            <w:i w:val="false"/>
            <w:iCs w:val="false"/>
            <w:color w:val="000080"/>
            <w:sz w:val="24"/>
            <w:szCs w:val="24"/>
            <w:u w:val="single"/>
          </w:rPr>
          <w:t>2014 SCC 8</w:t>
        </w:r>
      </w:hyperlink>
      <w:r>
        <w:rPr>
          <w:i w:val="false"/>
          <w:iCs w:val="false"/>
          <w:sz w:val="24"/>
          <w:szCs w:val="24"/>
        </w:rPr>
        <w:t>.</w:t>
      </w:r>
    </w:p>
    <w:p>
      <w:pPr>
        <w:pStyle w:val="FootnoteText"/>
        <w:bidi w:val="0"/>
        <w:jc w:val="left"/>
        <w:rPr>
          <w:rFonts w:ascii="Liberation Serif" w:hAnsi="Liberation Serif"/>
        </w:rPr>
      </w:pPr>
      <w:r>
        <w:rPr>
          <w:i/>
          <w:sz w:val="24"/>
          <w:szCs w:val="24"/>
        </w:rPr>
        <w:t xml:space="preserve">Buduchnist Credit Union Limited v. 2321197 Ontario Inc., </w:t>
      </w:r>
      <w:hyperlink r:id="rId8">
        <w:r>
          <w:rPr>
            <w:rStyle w:val="Hyperlink"/>
            <w:i w:val="false"/>
            <w:iCs w:val="false"/>
            <w:color w:val="000080"/>
            <w:sz w:val="24"/>
            <w:szCs w:val="24"/>
            <w:u w:val="single"/>
          </w:rPr>
          <w:t>2024 ONCA 57</w:t>
        </w:r>
      </w:hyperlink>
      <w:r>
        <w:rPr>
          <w:i w:val="false"/>
          <w:iCs w:val="false"/>
          <w:sz w:val="24"/>
          <w:szCs w:val="24"/>
        </w:rPr>
        <w:t>.</w:t>
      </w:r>
    </w:p>
    <w:p>
      <w:pPr>
        <w:pStyle w:val="FootnoteText"/>
        <w:bidi w:val="0"/>
        <w:jc w:val="left"/>
        <w:rPr>
          <w:rFonts w:ascii="Liberation Serif" w:hAnsi="Liberation Serif"/>
        </w:rPr>
      </w:pPr>
      <w:r>
        <w:rPr>
          <w:i/>
          <w:sz w:val="24"/>
          <w:szCs w:val="24"/>
        </w:rPr>
        <w:t>Carbone et al v Boccia et al</w:t>
      </w:r>
      <w:r>
        <w:rPr>
          <w:i w:val="false"/>
          <w:caps w:val="false"/>
          <w:smallCaps w:val="false"/>
          <w:sz w:val="24"/>
          <w:szCs w:val="24"/>
        </w:rPr>
        <w:t xml:space="preserve">, </w:t>
      </w:r>
      <w:hyperlink r:id="rId9">
        <w:r>
          <w:rPr>
            <w:rStyle w:val="Hyperlink"/>
            <w:i w:val="false"/>
            <w:caps w:val="false"/>
            <w:smallCaps w:val="false"/>
            <w:color w:val="000080"/>
            <w:sz w:val="24"/>
            <w:szCs w:val="24"/>
            <w:u w:val="single"/>
          </w:rPr>
          <w:t>2023 ONSC 3625</w:t>
        </w:r>
      </w:hyperlink>
      <w:r>
        <w:rPr>
          <w:i w:val="false"/>
          <w:caps w:val="false"/>
          <w:smallCaps w:val="false"/>
          <w:sz w:val="24"/>
          <w:szCs w:val="24"/>
        </w:rPr>
        <w:t>.</w:t>
      </w:r>
    </w:p>
    <w:p>
      <w:pPr>
        <w:pStyle w:val="FootnoteText"/>
        <w:bidi w:val="0"/>
        <w:jc w:val="left"/>
        <w:rPr>
          <w:rFonts w:ascii="Liberation Serif" w:hAnsi="Liberation Serif"/>
        </w:rPr>
      </w:pPr>
      <w:r>
        <w:rPr>
          <w:i/>
          <w:sz w:val="24"/>
          <w:szCs w:val="24"/>
        </w:rPr>
        <w:t xml:space="preserve">Carey v. Laiken, </w:t>
      </w:r>
      <w:hyperlink r:id="rId10">
        <w:r>
          <w:rPr>
            <w:rStyle w:val="Hyperlink"/>
            <w:i w:val="false"/>
            <w:iCs w:val="false"/>
            <w:color w:val="000080"/>
            <w:sz w:val="24"/>
            <w:szCs w:val="24"/>
            <w:u w:val="single"/>
          </w:rPr>
          <w:t>2015 SCC 17</w:t>
        </w:r>
      </w:hyperlink>
      <w:r>
        <w:rPr>
          <w:i w:val="false"/>
          <w:iCs w:val="false"/>
          <w:sz w:val="24"/>
          <w:szCs w:val="24"/>
        </w:rPr>
        <w:t>.</w:t>
      </w:r>
    </w:p>
    <w:p>
      <w:pPr>
        <w:pStyle w:val="FootnoteText"/>
        <w:bidi w:val="0"/>
        <w:jc w:val="left"/>
        <w:rPr>
          <w:rFonts w:ascii="Liberation Serif" w:hAnsi="Liberation Serif"/>
        </w:rPr>
      </w:pPr>
      <w:r>
        <w:rPr>
          <w:i/>
          <w:sz w:val="24"/>
          <w:szCs w:val="24"/>
        </w:rPr>
        <w:t xml:space="preserve">Chitel v Rothbart, </w:t>
      </w:r>
      <w:hyperlink r:id="rId11">
        <w:r>
          <w:rPr>
            <w:rStyle w:val="Hyperlink"/>
            <w:i w:val="false"/>
            <w:caps w:val="false"/>
            <w:smallCaps w:val="false"/>
            <w:color w:val="000080"/>
            <w:sz w:val="24"/>
            <w:szCs w:val="24"/>
            <w:u w:val="single"/>
          </w:rPr>
          <w:t>1982 CanLII 1956</w:t>
        </w:r>
      </w:hyperlink>
      <w:r>
        <w:rPr>
          <w:i/>
          <w:caps w:val="false"/>
          <w:smallCaps w:val="false"/>
          <w:sz w:val="24"/>
          <w:szCs w:val="24"/>
        </w:rPr>
        <w:t xml:space="preserve"> </w:t>
      </w:r>
      <w:r>
        <w:rPr>
          <w:i w:val="false"/>
          <w:caps w:val="false"/>
          <w:smallCaps w:val="false"/>
          <w:sz w:val="24"/>
          <w:szCs w:val="24"/>
        </w:rPr>
        <w:t>(ONCA)</w:t>
      </w:r>
      <w:r>
        <w:rPr>
          <w:i/>
          <w:sz w:val="24"/>
          <w:szCs w:val="24"/>
        </w:rPr>
        <w:t xml:space="preserve">. </w:t>
      </w:r>
    </w:p>
    <w:p>
      <w:pPr>
        <w:pStyle w:val="FootnoteText"/>
        <w:bidi w:val="0"/>
        <w:jc w:val="left"/>
        <w:rPr>
          <w:rFonts w:ascii="Liberation Serif" w:hAnsi="Liberation Serif"/>
        </w:rPr>
      </w:pPr>
      <w:r>
        <w:rPr>
          <w:i/>
          <w:sz w:val="24"/>
          <w:szCs w:val="24"/>
        </w:rPr>
        <w:t xml:space="preserve">Christian-Philip v Rajalingam, </w:t>
      </w:r>
      <w:hyperlink r:id="rId12">
        <w:r>
          <w:rPr>
            <w:rStyle w:val="Hyperlink"/>
            <w:i w:val="false"/>
            <w:iCs w:val="false"/>
            <w:color w:val="000080"/>
            <w:sz w:val="24"/>
            <w:szCs w:val="24"/>
            <w:u w:val="single"/>
          </w:rPr>
          <w:t>2020 ONSC 1925</w:t>
        </w:r>
      </w:hyperlink>
      <w:r>
        <w:rPr>
          <w:i w:val="false"/>
          <w:iCs w:val="false"/>
          <w:sz w:val="24"/>
          <w:szCs w:val="24"/>
        </w:rPr>
        <w:t>.</w:t>
      </w:r>
    </w:p>
    <w:p>
      <w:pPr>
        <w:pStyle w:val="FootnoteText"/>
        <w:bidi w:val="0"/>
        <w:jc w:val="left"/>
        <w:rPr>
          <w:rFonts w:ascii="Liberation Serif" w:hAnsi="Liberation Serif"/>
        </w:rPr>
      </w:pPr>
      <w:r>
        <w:rPr>
          <w:i/>
          <w:sz w:val="24"/>
          <w:szCs w:val="24"/>
        </w:rPr>
        <w:t xml:space="preserve">City of Toronto v Polai, </w:t>
      </w:r>
      <w:hyperlink r:id="rId13">
        <w:r>
          <w:rPr>
            <w:rStyle w:val="Hyperlink"/>
            <w:i w:val="false"/>
            <w:iCs w:val="false"/>
            <w:color w:val="000080"/>
            <w:sz w:val="24"/>
            <w:szCs w:val="24"/>
            <w:u w:val="single"/>
          </w:rPr>
          <w:t xml:space="preserve">1969 CanLII 339 </w:t>
        </w:r>
      </w:hyperlink>
      <w:r>
        <w:rPr>
          <w:rFonts w:ascii="Times new roman" w:hAnsi="Times new roman"/>
          <w:sz w:val="24"/>
          <w:szCs w:val="24"/>
        </w:rPr>
        <w:t>(ON CA).</w:t>
      </w:r>
    </w:p>
    <w:p>
      <w:pPr>
        <w:pStyle w:val="FootnoteText"/>
        <w:bidi w:val="0"/>
        <w:jc w:val="left"/>
        <w:rPr>
          <w:rFonts w:ascii="Liberation Serif" w:hAnsi="Liberation Serif"/>
        </w:rPr>
      </w:pPr>
      <w:r>
        <w:rPr>
          <w:i/>
          <w:sz w:val="24"/>
          <w:szCs w:val="24"/>
        </w:rPr>
        <w:t>GEA Group AG v Flex-N-Gate Corporation</w:t>
      </w:r>
      <w:r>
        <w:rPr>
          <w:sz w:val="24"/>
          <w:szCs w:val="24"/>
        </w:rPr>
        <w:t xml:space="preserve">, </w:t>
      </w:r>
      <w:hyperlink r:id="rId14">
        <w:r>
          <w:rPr>
            <w:rStyle w:val="Hyperlink"/>
            <w:color w:val="000080"/>
            <w:sz w:val="24"/>
            <w:szCs w:val="24"/>
            <w:u w:val="single"/>
          </w:rPr>
          <w:t>2009 ONCA 619</w:t>
        </w:r>
      </w:hyperlink>
      <w:r>
        <w:rPr>
          <w:sz w:val="24"/>
          <w:szCs w:val="24"/>
        </w:rPr>
        <w:t>.</w:t>
      </w:r>
    </w:p>
    <w:p>
      <w:pPr>
        <w:pStyle w:val="FootnoteText"/>
        <w:bidi w:val="0"/>
        <w:jc w:val="left"/>
        <w:rPr>
          <w:rFonts w:ascii="Liberation Serif" w:hAnsi="Liberation Serif"/>
        </w:rPr>
      </w:pPr>
      <w:r>
        <w:rPr>
          <w:rFonts w:ascii="Times new roman" w:hAnsi="Times new roman"/>
          <w:i/>
          <w:sz w:val="24"/>
          <w:szCs w:val="24"/>
        </w:rPr>
        <w:t>HZC Capital Inc. v Lee,</w:t>
      </w:r>
      <w:r>
        <w:rPr>
          <w:rFonts w:ascii="Times new roman" w:hAnsi="Times new roman"/>
          <w:caps w:val="false"/>
          <w:smallCaps w:val="false"/>
          <w:sz w:val="24"/>
          <w:szCs w:val="24"/>
        </w:rPr>
        <w:t xml:space="preserve"> </w:t>
      </w:r>
      <w:hyperlink r:id="rId15">
        <w:r>
          <w:rPr>
            <w:rStyle w:val="Hyperlink"/>
            <w:rFonts w:ascii="Times new roman" w:hAnsi="Times new roman"/>
            <w:i w:val="false"/>
            <w:caps w:val="false"/>
            <w:smallCaps w:val="false"/>
            <w:color w:val="000080"/>
            <w:sz w:val="24"/>
            <w:szCs w:val="24"/>
            <w:u w:val="single"/>
          </w:rPr>
          <w:t>2019 ONSC 4622</w:t>
        </w:r>
      </w:hyperlink>
      <w:r>
        <w:rPr>
          <w:rFonts w:ascii="Times new roman" w:hAnsi="Times new roman"/>
          <w:i w:val="false"/>
          <w:caps w:val="false"/>
          <w:smallCaps w:val="false"/>
          <w:sz w:val="24"/>
          <w:szCs w:val="24"/>
        </w:rPr>
        <w:t>.</w:t>
      </w:r>
    </w:p>
    <w:p>
      <w:pPr>
        <w:pStyle w:val="FootnoteText"/>
        <w:bidi w:val="0"/>
        <w:jc w:val="left"/>
        <w:rPr>
          <w:rFonts w:ascii="Liberation Serif" w:hAnsi="Liberation Serif"/>
        </w:rPr>
      </w:pPr>
      <w:r>
        <w:rPr>
          <w:i/>
          <w:iCs/>
          <w:sz w:val="24"/>
          <w:szCs w:val="24"/>
        </w:rPr>
        <w:t xml:space="preserve">Isofoton S.A. v Toronto Dominion Bank, 2007 </w:t>
      </w:r>
      <w:hyperlink r:id="rId16">
        <w:r>
          <w:rPr>
            <w:rStyle w:val="Hyperlink"/>
            <w:i w:val="false"/>
            <w:iCs w:val="false"/>
            <w:color w:val="000080"/>
            <w:sz w:val="24"/>
            <w:szCs w:val="24"/>
            <w:u w:val="single"/>
          </w:rPr>
          <w:t xml:space="preserve">CanLII 14626 </w:t>
        </w:r>
      </w:hyperlink>
      <w:r>
        <w:rPr>
          <w:i w:val="false"/>
          <w:iCs w:val="false"/>
          <w:sz w:val="24"/>
          <w:szCs w:val="24"/>
        </w:rPr>
        <w:t>(ON SC).</w:t>
      </w:r>
    </w:p>
    <w:p>
      <w:pPr>
        <w:pStyle w:val="FootnoteText"/>
        <w:bidi w:val="0"/>
        <w:jc w:val="left"/>
        <w:rPr>
          <w:rFonts w:ascii="Liberation Serif" w:hAnsi="Liberation Serif"/>
        </w:rPr>
      </w:pPr>
      <w:r>
        <w:rPr>
          <w:i/>
          <w:iCs/>
          <w:sz w:val="24"/>
          <w:szCs w:val="24"/>
        </w:rPr>
        <w:t xml:space="preserve">Jajj v 100337 Canada Ltd (cob BJ International/BJ Supermarket), </w:t>
      </w:r>
      <w:hyperlink r:id="rId17">
        <w:r>
          <w:rPr>
            <w:rStyle w:val="Hyperlink"/>
            <w:i w:val="false"/>
            <w:iCs w:val="false"/>
            <w:color w:val="000080"/>
            <w:sz w:val="24"/>
            <w:szCs w:val="24"/>
            <w:u w:val="single"/>
          </w:rPr>
          <w:t>2014 ONSC 557</w:t>
        </w:r>
      </w:hyperlink>
      <w:r>
        <w:rPr>
          <w:i w:val="false"/>
          <w:iCs w:val="false"/>
          <w:sz w:val="24"/>
          <w:szCs w:val="24"/>
        </w:rPr>
        <w:t>.</w:t>
      </w:r>
    </w:p>
    <w:p>
      <w:pPr>
        <w:pStyle w:val="FootnoteText"/>
        <w:bidi w:val="0"/>
        <w:jc w:val="left"/>
        <w:rPr>
          <w:rFonts w:ascii="Liberation Serif" w:hAnsi="Liberation Serif"/>
        </w:rPr>
      </w:pPr>
      <w:r>
        <w:rPr>
          <w:i/>
          <w:sz w:val="24"/>
          <w:szCs w:val="24"/>
        </w:rPr>
        <w:t>Lambrou v Voudouris,</w:t>
      </w:r>
      <w:r>
        <w:rPr>
          <w:sz w:val="24"/>
          <w:szCs w:val="24"/>
        </w:rPr>
        <w:t xml:space="preserve"> </w:t>
      </w:r>
      <w:hyperlink r:id="rId18">
        <w:r>
          <w:rPr>
            <w:rStyle w:val="Hyperlink"/>
            <w:color w:val="000080"/>
            <w:sz w:val="24"/>
            <w:szCs w:val="24"/>
            <w:u w:val="single"/>
          </w:rPr>
          <w:t>2015 ONSC 998</w:t>
        </w:r>
      </w:hyperlink>
      <w:r>
        <w:rPr>
          <w:sz w:val="24"/>
          <w:szCs w:val="24"/>
        </w:rPr>
        <w:t>.</w:t>
      </w:r>
    </w:p>
    <w:p>
      <w:pPr>
        <w:pStyle w:val="FootnoteText"/>
        <w:bidi w:val="0"/>
        <w:jc w:val="left"/>
        <w:rPr>
          <w:rFonts w:ascii="Liberation Serif" w:hAnsi="Liberation Serif"/>
        </w:rPr>
      </w:pPr>
      <w:r>
        <w:rPr>
          <w:i/>
          <w:iCs/>
          <w:sz w:val="24"/>
          <w:szCs w:val="24"/>
        </w:rPr>
        <w:t>Lee v Lalu Canada Inc.</w:t>
      </w:r>
      <w:r>
        <w:rPr>
          <w:i w:val="false"/>
          <w:iCs/>
          <w:caps w:val="false"/>
          <w:smallCaps w:val="false"/>
          <w:sz w:val="24"/>
          <w:szCs w:val="24"/>
        </w:rPr>
        <w:t xml:space="preserve">, </w:t>
      </w:r>
      <w:hyperlink r:id="rId19">
        <w:r>
          <w:rPr>
            <w:rStyle w:val="Hyperlink"/>
            <w:i w:val="false"/>
            <w:iCs w:val="false"/>
            <w:color w:val="000080"/>
            <w:sz w:val="24"/>
            <w:szCs w:val="24"/>
            <w:u w:val="single"/>
          </w:rPr>
          <w:t>2020 ONCA 344</w:t>
        </w:r>
      </w:hyperlink>
      <w:r>
        <w:rPr>
          <w:i w:val="false"/>
          <w:iCs w:val="false"/>
          <w:sz w:val="24"/>
          <w:szCs w:val="24"/>
        </w:rPr>
        <w:t>.</w:t>
      </w:r>
    </w:p>
    <w:p>
      <w:pPr>
        <w:pStyle w:val="FootnoteText"/>
        <w:bidi w:val="0"/>
        <w:jc w:val="left"/>
        <w:rPr>
          <w:rFonts w:ascii="Liberation Serif" w:hAnsi="Liberation Serif"/>
        </w:rPr>
      </w:pPr>
      <w:r>
        <w:rPr>
          <w:i/>
          <w:iCs/>
          <w:sz w:val="24"/>
          <w:szCs w:val="24"/>
        </w:rPr>
        <w:t xml:space="preserve">Meade v Toronto Dominion Bank, </w:t>
      </w:r>
      <w:hyperlink r:id="rId20">
        <w:r>
          <w:rPr>
            <w:rStyle w:val="Hyperlink"/>
            <w:i w:val="false"/>
            <w:iCs w:val="false"/>
            <w:color w:val="000080"/>
            <w:sz w:val="24"/>
            <w:szCs w:val="24"/>
            <w:u w:val="single"/>
          </w:rPr>
          <w:t>2023 ONSC 3585</w:t>
        </w:r>
      </w:hyperlink>
      <w:r>
        <w:rPr>
          <w:i w:val="false"/>
          <w:iCs w:val="false"/>
          <w:sz w:val="24"/>
          <w:szCs w:val="24"/>
        </w:rPr>
        <w:t>.</w:t>
      </w:r>
    </w:p>
    <w:p>
      <w:pPr>
        <w:pStyle w:val="FootnoteText"/>
        <w:bidi w:val="0"/>
        <w:jc w:val="left"/>
        <w:rPr>
          <w:rFonts w:ascii="Liberation Serif" w:hAnsi="Liberation Serif"/>
        </w:rPr>
      </w:pPr>
      <w:r>
        <w:rPr>
          <w:i/>
          <w:iCs/>
          <w:sz w:val="24"/>
          <w:szCs w:val="24"/>
        </w:rPr>
        <w:t xml:space="preserve">O2 Electronics Inc. v Sualim, </w:t>
      </w:r>
      <w:hyperlink r:id="rId21">
        <w:r>
          <w:rPr>
            <w:rStyle w:val="Hyperlink"/>
            <w:i w:val="false"/>
            <w:iCs w:val="false"/>
            <w:color w:val="000080"/>
            <w:sz w:val="24"/>
            <w:szCs w:val="24"/>
            <w:u w:val="single"/>
          </w:rPr>
          <w:t>2014 ONSC 5050</w:t>
        </w:r>
      </w:hyperlink>
      <w:r>
        <w:rPr>
          <w:i w:val="false"/>
          <w:iCs w:val="false"/>
          <w:sz w:val="24"/>
          <w:szCs w:val="24"/>
        </w:rPr>
        <w:t>.</w:t>
      </w:r>
    </w:p>
    <w:p>
      <w:pPr>
        <w:pStyle w:val="FootnoteText"/>
        <w:bidi w:val="0"/>
        <w:jc w:val="left"/>
        <w:rPr>
          <w:rFonts w:ascii="Liberation Serif" w:hAnsi="Liberation Serif"/>
        </w:rPr>
      </w:pPr>
      <w:r>
        <w:rPr>
          <w:i/>
          <w:iCs/>
          <w:sz w:val="24"/>
          <w:szCs w:val="24"/>
        </w:rPr>
        <w:t xml:space="preserve">Original Traders Energy Ltd., (Re), </w:t>
      </w:r>
      <w:hyperlink r:id="rId22">
        <w:r>
          <w:rPr>
            <w:rStyle w:val="Hyperlink"/>
            <w:i w:val="false"/>
            <w:iCs w:val="false"/>
            <w:color w:val="000080"/>
            <w:sz w:val="24"/>
            <w:szCs w:val="24"/>
            <w:u w:val="single"/>
          </w:rPr>
          <w:t>2024 ONSC 325</w:t>
        </w:r>
      </w:hyperlink>
      <w:r>
        <w:rPr>
          <w:i w:val="false"/>
          <w:iCs w:val="false"/>
          <w:sz w:val="24"/>
          <w:szCs w:val="24"/>
        </w:rPr>
        <w:t>.</w:t>
      </w:r>
    </w:p>
    <w:p>
      <w:pPr>
        <w:pStyle w:val="FootnoteText"/>
        <w:bidi w:val="0"/>
        <w:jc w:val="left"/>
        <w:rPr>
          <w:rFonts w:ascii="Liberation Serif" w:hAnsi="Liberation Serif"/>
        </w:rPr>
      </w:pPr>
      <w:r>
        <w:rPr>
          <w:i/>
          <w:iCs/>
          <w:sz w:val="24"/>
          <w:szCs w:val="24"/>
        </w:rPr>
        <w:t xml:space="preserve">Petro-Diamond Incorporated v Verdeo Inc., </w:t>
      </w:r>
      <w:hyperlink r:id="rId23">
        <w:r>
          <w:rPr>
            <w:rStyle w:val="Hyperlink"/>
            <w:i w:val="false"/>
            <w:iCs w:val="false"/>
            <w:color w:val="000080"/>
            <w:sz w:val="24"/>
            <w:szCs w:val="24"/>
            <w:u w:val="single"/>
          </w:rPr>
          <w:t>2014 ONSC 2917</w:t>
        </w:r>
      </w:hyperlink>
      <w:r>
        <w:rPr>
          <w:i w:val="false"/>
          <w:iCs w:val="false"/>
          <w:sz w:val="24"/>
          <w:szCs w:val="24"/>
        </w:rPr>
        <w:t>.</w:t>
      </w:r>
    </w:p>
    <w:p>
      <w:pPr>
        <w:pStyle w:val="FootnoteText"/>
        <w:bidi w:val="0"/>
        <w:jc w:val="left"/>
        <w:rPr>
          <w:rFonts w:ascii="Liberation Serif" w:hAnsi="Liberation Serif"/>
        </w:rPr>
      </w:pPr>
      <w:r>
        <w:rPr>
          <w:i/>
          <w:iCs/>
          <w:sz w:val="24"/>
          <w:szCs w:val="24"/>
        </w:rPr>
        <w:t xml:space="preserve">Polai v City of Toronto, </w:t>
      </w:r>
      <w:hyperlink r:id="rId24">
        <w:r>
          <w:rPr>
            <w:rStyle w:val="Hyperlink"/>
            <w:i w:val="false"/>
            <w:iCs w:val="false"/>
            <w:color w:val="000080"/>
            <w:sz w:val="24"/>
            <w:szCs w:val="24"/>
            <w:u w:val="single"/>
          </w:rPr>
          <w:t xml:space="preserve">1972 CanLII 22 </w:t>
        </w:r>
      </w:hyperlink>
      <w:r>
        <w:rPr>
          <w:i w:val="false"/>
          <w:iCs w:val="false"/>
          <w:sz w:val="24"/>
          <w:szCs w:val="24"/>
        </w:rPr>
        <w:t>(SCC), [1973] SCR 38.</w:t>
      </w:r>
    </w:p>
    <w:p>
      <w:pPr>
        <w:pStyle w:val="FootnoteText"/>
        <w:bidi w:val="0"/>
        <w:jc w:val="left"/>
        <w:rPr>
          <w:rFonts w:ascii="Liberation Serif" w:hAnsi="Liberation Serif"/>
        </w:rPr>
      </w:pPr>
      <w:r>
        <w:rPr>
          <w:i/>
          <w:sz w:val="24"/>
          <w:szCs w:val="24"/>
        </w:rPr>
        <w:t>R. v Fastfrate</w:t>
      </w:r>
      <w:r>
        <w:rPr>
          <w:sz w:val="24"/>
          <w:szCs w:val="24"/>
        </w:rPr>
        <w:t xml:space="preserve">, </w:t>
      </w:r>
      <w:hyperlink r:id="rId25">
        <w:r>
          <w:rPr>
            <w:rStyle w:val="Hyperlink"/>
            <w:rFonts w:ascii="Times new roman" w:hAnsi="Times new roman"/>
            <w:color w:val="000080"/>
            <w:sz w:val="24"/>
            <w:szCs w:val="24"/>
            <w:u w:val="single"/>
          </w:rPr>
          <w:t>1995 CanLII 1527</w:t>
        </w:r>
      </w:hyperlink>
      <w:r>
        <w:rPr>
          <w:rFonts w:ascii="Times new roman" w:hAnsi="Times new roman"/>
          <w:sz w:val="24"/>
          <w:szCs w:val="24"/>
        </w:rPr>
        <w:t xml:space="preserve"> (ON CA).</w:t>
      </w:r>
    </w:p>
    <w:p>
      <w:pPr>
        <w:pStyle w:val="FootnoteText"/>
        <w:bidi w:val="0"/>
        <w:jc w:val="left"/>
        <w:rPr>
          <w:rFonts w:ascii="Liberation Serif" w:hAnsi="Liberation Serif"/>
        </w:rPr>
      </w:pPr>
      <w:r>
        <w:rPr>
          <w:i/>
          <w:sz w:val="24"/>
          <w:szCs w:val="24"/>
        </w:rPr>
        <w:t>Rana v Malik</w:t>
      </w:r>
      <w:r>
        <w:rPr>
          <w:sz w:val="24"/>
          <w:szCs w:val="24"/>
        </w:rPr>
        <w:t xml:space="preserve">, </w:t>
      </w:r>
      <w:hyperlink r:id="rId26">
        <w:r>
          <w:rPr>
            <w:rStyle w:val="Hyperlink"/>
            <w:color w:val="000080"/>
            <w:sz w:val="24"/>
            <w:szCs w:val="24"/>
            <w:u w:val="single"/>
          </w:rPr>
          <w:t>2014 ONSC 701</w:t>
        </w:r>
      </w:hyperlink>
      <w:r>
        <w:rPr>
          <w:sz w:val="24"/>
          <w:szCs w:val="24"/>
        </w:rPr>
        <w:t>.</w:t>
      </w:r>
    </w:p>
    <w:p>
      <w:pPr>
        <w:pStyle w:val="FootnoteText"/>
        <w:bidi w:val="0"/>
        <w:jc w:val="left"/>
        <w:rPr>
          <w:rFonts w:ascii="Liberation Serif" w:hAnsi="Liberation Serif"/>
        </w:rPr>
      </w:pPr>
      <w:r>
        <w:rPr>
          <w:i/>
          <w:sz w:val="24"/>
          <w:szCs w:val="24"/>
        </w:rPr>
        <w:t xml:space="preserve">RJR-MacDonald Inc. v Canada (Attorney General), </w:t>
      </w:r>
      <w:hyperlink r:id="rId27">
        <w:r>
          <w:rPr>
            <w:rStyle w:val="Hyperlink"/>
            <w:i w:val="false"/>
            <w:iCs w:val="false"/>
            <w:color w:val="000080"/>
            <w:sz w:val="24"/>
            <w:szCs w:val="24"/>
            <w:u w:val="single"/>
          </w:rPr>
          <w:t>1994 CanLII 117</w:t>
        </w:r>
      </w:hyperlink>
      <w:r>
        <w:rPr>
          <w:i w:val="false"/>
          <w:iCs w:val="false"/>
          <w:sz w:val="24"/>
          <w:szCs w:val="24"/>
        </w:rPr>
        <w:t xml:space="preserve"> (SCC),</w:t>
      </w:r>
    </w:p>
    <w:p>
      <w:pPr>
        <w:pStyle w:val="FootnoteText"/>
        <w:bidi w:val="0"/>
        <w:jc w:val="left"/>
        <w:rPr>
          <w:rFonts w:ascii="Liberation Serif" w:hAnsi="Liberation Serif"/>
        </w:rPr>
      </w:pPr>
      <w:r>
        <w:rPr>
          <w:i/>
          <w:sz w:val="24"/>
          <w:szCs w:val="24"/>
        </w:rPr>
        <w:t>Sabourin and Sun Group of Companies v Laiken</w:t>
      </w:r>
      <w:r>
        <w:rPr>
          <w:sz w:val="24"/>
          <w:szCs w:val="24"/>
        </w:rPr>
        <w:t xml:space="preserve">, </w:t>
      </w:r>
      <w:hyperlink r:id="rId28">
        <w:r>
          <w:rPr>
            <w:rStyle w:val="Hyperlink"/>
            <w:color w:val="000080"/>
            <w:sz w:val="24"/>
            <w:szCs w:val="24"/>
            <w:u w:val="single"/>
          </w:rPr>
          <w:t>2013 ONCA 530</w:t>
        </w:r>
      </w:hyperlink>
      <w:r>
        <w:rPr>
          <w:sz w:val="24"/>
          <w:szCs w:val="24"/>
        </w:rPr>
        <w:t>.</w:t>
      </w:r>
    </w:p>
    <w:p>
      <w:pPr>
        <w:pStyle w:val="FootnoteText"/>
        <w:bidi w:val="0"/>
        <w:jc w:val="left"/>
        <w:rPr>
          <w:rFonts w:ascii="Liberation Serif" w:hAnsi="Liberation Serif"/>
        </w:rPr>
      </w:pPr>
      <w:r>
        <w:rPr>
          <w:sz w:val="24"/>
          <w:szCs w:val="24"/>
        </w:rPr>
        <w:t xml:space="preserve">Sherwood Dash Inc. v. Woodview Products Inc., </w:t>
      </w:r>
      <w:hyperlink r:id="rId29">
        <w:r>
          <w:rPr>
            <w:rStyle w:val="Hyperlink"/>
            <w:color w:val="000080"/>
            <w:sz w:val="24"/>
            <w:szCs w:val="24"/>
            <w:u w:val="single"/>
          </w:rPr>
          <w:t xml:space="preserve">2005 CanLII 45978 </w:t>
        </w:r>
      </w:hyperlink>
      <w:r>
        <w:rPr>
          <w:sz w:val="24"/>
          <w:szCs w:val="24"/>
        </w:rPr>
        <w:t>(ON SC).</w:t>
      </w:r>
    </w:p>
    <w:p>
      <w:pPr>
        <w:pStyle w:val="FootnoteText"/>
        <w:bidi w:val="0"/>
        <w:jc w:val="left"/>
        <w:rPr>
          <w:rFonts w:ascii="Liberation Serif" w:hAnsi="Liberation Serif"/>
        </w:rPr>
      </w:pPr>
      <w:r>
        <w:rPr>
          <w:i/>
          <w:sz w:val="24"/>
          <w:szCs w:val="24"/>
        </w:rPr>
        <w:t>Sibley &amp; Associates LP v Ross</w:t>
      </w:r>
      <w:r>
        <w:rPr>
          <w:i w:val="false"/>
          <w:caps w:val="false"/>
          <w:smallCaps w:val="false"/>
          <w:sz w:val="24"/>
          <w:szCs w:val="24"/>
        </w:rPr>
        <w:t xml:space="preserve">, </w:t>
      </w:r>
      <w:hyperlink r:id="rId30">
        <w:r>
          <w:rPr>
            <w:rStyle w:val="Hyperlink"/>
            <w:i w:val="false"/>
            <w:caps w:val="false"/>
            <w:smallCaps w:val="false"/>
            <w:color w:val="000080"/>
            <w:sz w:val="24"/>
            <w:szCs w:val="24"/>
            <w:u w:val="single"/>
          </w:rPr>
          <w:t>2011 ONSC 2951</w:t>
        </w:r>
      </w:hyperlink>
      <w:r>
        <w:rPr>
          <w:i w:val="false"/>
          <w:caps w:val="false"/>
          <w:smallCaps w:val="false"/>
          <w:sz w:val="24"/>
          <w:szCs w:val="24"/>
        </w:rPr>
        <w:t xml:space="preserve">. </w:t>
      </w:r>
    </w:p>
    <w:p>
      <w:pPr>
        <w:pStyle w:val="FootnoteText"/>
        <w:bidi w:val="0"/>
        <w:jc w:val="left"/>
        <w:rPr>
          <w:rFonts w:ascii="Liberation Serif" w:hAnsi="Liberation Serif"/>
        </w:rPr>
      </w:pPr>
      <w:r>
        <w:rPr>
          <w:i/>
          <w:sz w:val="24"/>
          <w:szCs w:val="24"/>
        </w:rPr>
        <w:t>Wallace v Pristine Developments</w:t>
      </w:r>
      <w:r>
        <w:rPr>
          <w:sz w:val="24"/>
          <w:szCs w:val="24"/>
        </w:rPr>
        <w:t xml:space="preserve">, </w:t>
      </w:r>
      <w:hyperlink r:id="rId31">
        <w:r>
          <w:rPr>
            <w:rStyle w:val="Hyperlink"/>
            <w:color w:val="000080"/>
            <w:sz w:val="24"/>
            <w:szCs w:val="24"/>
            <w:u w:val="single"/>
          </w:rPr>
          <w:t>2021 ONSC 2794</w:t>
        </w:r>
      </w:hyperlink>
      <w:r>
        <w:rPr>
          <w:sz w:val="24"/>
          <w:szCs w:val="24"/>
        </w:rPr>
        <w:t>.</w:t>
      </w:r>
    </w:p>
    <w:p>
      <w:pPr>
        <w:pStyle w:val="FootnoteText"/>
        <w:bidi w:val="0"/>
        <w:jc w:val="left"/>
        <w:rPr>
          <w:rFonts w:ascii="Liberation Serif" w:hAnsi="Liberation Serif"/>
        </w:rPr>
      </w:pPr>
      <w:r>
        <w:rPr>
          <w:i/>
          <w:sz w:val="24"/>
          <w:szCs w:val="24"/>
        </w:rPr>
        <w:t>Wayne Safety Inc. v Gendelman</w:t>
      </w:r>
      <w:r>
        <w:rPr>
          <w:sz w:val="24"/>
          <w:szCs w:val="24"/>
        </w:rPr>
        <w:t xml:space="preserve">, </w:t>
      </w:r>
      <w:hyperlink r:id="rId32">
        <w:r>
          <w:rPr>
            <w:rStyle w:val="Hyperlink"/>
            <w:color w:val="000080"/>
            <w:sz w:val="24"/>
            <w:szCs w:val="24"/>
            <w:u w:val="single"/>
          </w:rPr>
          <w:t>2023 ONSC 2478</w:t>
        </w:r>
      </w:hyperlink>
      <w:r>
        <w:rPr>
          <w:sz w:val="24"/>
          <w:szCs w:val="24"/>
        </w:rPr>
        <w:t>.</w:t>
      </w:r>
    </w:p>
    <w:p>
      <w:pPr>
        <w:pStyle w:val="FootnoteText"/>
        <w:bidi w:val="0"/>
        <w:jc w:val="left"/>
        <w:rPr>
          <w:rFonts w:ascii="Liberation Serif" w:hAnsi="Liberation Serif"/>
        </w:rPr>
      </w:pPr>
      <w:r>
        <w:rPr>
          <w:i/>
          <w:sz w:val="24"/>
          <w:szCs w:val="24"/>
        </w:rPr>
        <w:t>Woods v Jahangiri</w:t>
      </w:r>
      <w:r>
        <w:rPr>
          <w:sz w:val="24"/>
          <w:szCs w:val="24"/>
        </w:rPr>
        <w:t xml:space="preserve">, </w:t>
      </w:r>
      <w:hyperlink r:id="rId33">
        <w:r>
          <w:rPr>
            <w:rStyle w:val="Hyperlink"/>
            <w:color w:val="000080"/>
            <w:sz w:val="24"/>
            <w:szCs w:val="24"/>
            <w:u w:val="single"/>
          </w:rPr>
          <w:t>2020 ONSC 7404</w:t>
        </w:r>
      </w:hyperlink>
      <w:r>
        <w:rPr>
          <w:sz w:val="24"/>
          <w:szCs w:val="24"/>
        </w:rPr>
        <w:t>.</w:t>
      </w:r>
    </w:p>
    <w:p>
      <w:pPr>
        <w:pStyle w:val="FootnoteText"/>
        <w:bidi w:val="0"/>
        <w:jc w:val="left"/>
        <w:rPr>
          <w:rFonts w:ascii="Liberation Serif" w:hAnsi="Liberation Serif"/>
        </w:rPr>
      </w:pPr>
      <w:r>
        <w:rPr>
          <w:i/>
          <w:sz w:val="24"/>
          <w:szCs w:val="24"/>
        </w:rPr>
        <w:t>York University v Bell Canada Enterprises</w:t>
      </w:r>
      <w:r>
        <w:rPr>
          <w:sz w:val="24"/>
          <w:szCs w:val="24"/>
        </w:rPr>
        <w:t xml:space="preserve">, </w:t>
      </w:r>
      <w:hyperlink r:id="rId34">
        <w:r>
          <w:rPr>
            <w:rStyle w:val="Hyperlink"/>
            <w:color w:val="000080"/>
            <w:sz w:val="24"/>
            <w:szCs w:val="24"/>
            <w:u w:val="single"/>
          </w:rPr>
          <w:t xml:space="preserve">2009 CanLII 46447 </w:t>
        </w:r>
      </w:hyperlink>
      <w:r>
        <w:rPr>
          <w:sz w:val="24"/>
          <w:szCs w:val="24"/>
        </w:rPr>
        <w:t>(ON SC).</w:t>
      </w:r>
    </w:p>
    <w:p>
      <w:pPr>
        <w:pStyle w:val="FootnoteText"/>
        <w:bidi w:val="0"/>
        <w:jc w:val="left"/>
        <w:rPr>
          <w:rFonts w:ascii="Liberation Serif" w:hAnsi="Liberation Serif"/>
        </w:rPr>
      </w:pPr>
      <w:r>
        <w:rPr>
          <w:rFonts w:ascii="Liberation Serif" w:hAnsi="Liberation Serif"/>
        </w:rPr>
      </w:r>
    </w:p>
    <w:p>
      <w:pPr>
        <w:pStyle w:val="Normal"/>
        <w:jc w:val="left"/>
        <w:rPr>
          <w:rFonts w:ascii="Liberation Serif" w:hAnsi="Liberation Serif"/>
        </w:rPr>
      </w:pPr>
      <w:r>
        <w:rPr>
          <w:i/>
          <w:iCs/>
          <w:color w:val="000000"/>
          <w:szCs w:val="24"/>
          <w:u w:val="single"/>
        </w:rPr>
        <w:t>Other authorities</w:t>
      </w:r>
    </w:p>
    <w:p>
      <w:pPr>
        <w:pStyle w:val="FootnoteText"/>
        <w:bidi w:val="0"/>
        <w:jc w:val="left"/>
        <w:rPr>
          <w:rFonts w:ascii="Liberation Serif" w:hAnsi="Liberation Serif"/>
        </w:rPr>
      </w:pPr>
      <w:r>
        <w:rPr>
          <w:sz w:val="24"/>
          <w:szCs w:val="24"/>
        </w:rPr>
        <w:t xml:space="preserve">John McGhee and Steven Elliott, </w:t>
      </w:r>
      <w:r>
        <w:rPr>
          <w:i/>
          <w:sz w:val="24"/>
          <w:szCs w:val="24"/>
        </w:rPr>
        <w:t>Snell’s Equity</w:t>
      </w:r>
      <w:r>
        <w:rPr>
          <w:caps w:val="false"/>
          <w:smallCaps w:val="false"/>
          <w:sz w:val="24"/>
          <w:szCs w:val="24"/>
        </w:rPr>
        <w:t xml:space="preserve"> </w:t>
      </w:r>
      <w:r>
        <w:rPr>
          <w:i w:val="false"/>
          <w:caps w:val="false"/>
          <w:smallCaps w:val="false"/>
          <w:sz w:val="24"/>
          <w:szCs w:val="24"/>
        </w:rPr>
        <w:t>(34</w:t>
      </w:r>
      <w:r>
        <w:rPr>
          <w:i w:val="false"/>
          <w:caps w:val="false"/>
          <w:smallCaps w:val="false"/>
          <w:position w:val="8"/>
          <w:sz w:val="24"/>
          <w:szCs w:val="24"/>
        </w:rPr>
        <w:t>th</w:t>
      </w:r>
      <w:r>
        <w:rPr>
          <w:caps w:val="false"/>
          <w:smallCaps w:val="false"/>
          <w:sz w:val="24"/>
          <w:szCs w:val="24"/>
        </w:rPr>
        <w:t xml:space="preserve"> </w:t>
      </w:r>
      <w:r>
        <w:rPr>
          <w:i w:val="false"/>
          <w:caps w:val="false"/>
          <w:smallCaps w:val="false"/>
          <w:sz w:val="24"/>
          <w:szCs w:val="24"/>
        </w:rPr>
        <w:t>ed.), 2020, London: Sweet &amp; Maxwell.</w:t>
      </w:r>
    </w:p>
    <w:p>
      <w:pPr>
        <w:pStyle w:val="Normal"/>
        <w:jc w:val="left"/>
        <w:rPr>
          <w:rFonts w:ascii="Times New Roman" w:hAnsi="Times New Roman"/>
          <w:szCs w:val="24"/>
        </w:rPr>
      </w:pPr>
      <w:r>
        <w:rPr>
          <w:szCs w:val="24"/>
        </w:rPr>
      </w:r>
    </w:p>
    <w:p>
      <w:pPr>
        <w:pStyle w:val="Normal"/>
        <w:jc w:val="left"/>
        <w:rPr>
          <w:rFonts w:ascii="Liberation Serif" w:hAnsi="Liberation Serif"/>
          <w:b w:val="false"/>
          <w:bCs w:val="false"/>
          <w:i w:val="false"/>
          <w:i w:val="false"/>
          <w:iCs w:val="false"/>
        </w:rPr>
      </w:pPr>
      <w:r>
        <w:rPr>
          <w:rFonts w:ascii="Liberation Serif" w:hAnsi="Liberation Serif"/>
          <w:b w:val="false"/>
          <w:bCs w:val="false"/>
          <w:i w:val="false"/>
          <w:iCs w:val="false"/>
        </w:rPr>
      </w:r>
      <w:bookmarkStart w:id="1" w:name="__DdeLink__1731_3669901430_Copy_2"/>
      <w:bookmarkStart w:id="2" w:name="__DdeLink__1731_3669901430_Copy_1"/>
      <w:bookmarkStart w:id="3" w:name="__DdeLink__1731_3669901430_Copy_2"/>
      <w:bookmarkStart w:id="4" w:name="__DdeLink__1731_3669901430_Copy_1"/>
      <w:bookmarkEnd w:id="3"/>
      <w:bookmarkEnd w:id="4"/>
    </w:p>
    <w:p>
      <w:pPr>
        <w:pStyle w:val="FootnoteText"/>
        <w:widowControl/>
        <w:suppressAutoHyphens w:val="true"/>
        <w:bidi w:val="0"/>
        <w:spacing w:before="0" w:after="0"/>
        <w:ind w:hanging="283" w:left="283" w:right="0"/>
        <w:jc w:val="center"/>
        <w:rPr>
          <w:rFonts w:ascii="Liberation Serif" w:hAnsi="Liberation Serif"/>
        </w:rPr>
      </w:pPr>
      <w:r>
        <w:rPr>
          <w:rFonts w:ascii="Liberation Serif" w:hAnsi="Liberation Serif"/>
          <w:b w:val="false"/>
          <w:bCs w:val="false"/>
          <w:i w:val="false"/>
          <w:iCs w:val="false"/>
          <w:color w:val="000000"/>
          <w:sz w:val="24"/>
          <w:szCs w:val="24"/>
          <w:u w:val="none"/>
        </w:rPr>
        <w:t>CERTIFICATION OF AUTHENTICITY</w:t>
      </w:r>
    </w:p>
    <w:p>
      <w:pPr>
        <w:pStyle w:val="FootnoteText"/>
        <w:widowControl/>
        <w:suppressAutoHyphens w:val="true"/>
        <w:bidi w:val="0"/>
        <w:spacing w:before="0" w:after="0"/>
        <w:ind w:hanging="283" w:left="283" w:right="0"/>
        <w:jc w:val="center"/>
        <w:rPr>
          <w:rFonts w:ascii="Liberation Serif" w:hAnsi="Liberation Serif"/>
          <w:b w:val="false"/>
          <w:bCs w:val="false"/>
          <w:i w:val="false"/>
          <w:i w:val="false"/>
          <w:iCs w:val="false"/>
        </w:rPr>
      </w:pPr>
      <w:r>
        <w:rPr>
          <w:rFonts w:ascii="Liberation Serif" w:hAnsi="Liberation Serif"/>
          <w:b w:val="false"/>
          <w:bCs w:val="false"/>
          <w:i w:val="false"/>
          <w:iCs w:val="false"/>
        </w:rPr>
      </w:r>
    </w:p>
    <w:p>
      <w:pPr>
        <w:pStyle w:val="FootnoteText"/>
        <w:widowControl w:val="false"/>
        <w:suppressAutoHyphens w:val="true"/>
        <w:spacing w:lineRule="auto" w:line="480"/>
        <w:ind w:hanging="0" w:left="0"/>
        <w:jc w:val="left"/>
        <w:rPr>
          <w:i w:val="false"/>
          <w:i w:val="false"/>
          <w:iCs w:val="false"/>
        </w:rPr>
      </w:pPr>
      <w:r>
        <w:rPr>
          <w:rFonts w:ascii="Liberation Serif" w:hAnsi="Liberation Serif"/>
          <w:b w:val="false"/>
          <w:bCs w:val="false"/>
          <w:i w:val="false"/>
          <w:iCs w:val="false"/>
          <w:color w:val="000000"/>
          <w:sz w:val="24"/>
          <w:szCs w:val="24"/>
          <w:u w:val="none"/>
        </w:rPr>
        <w:t>I, Adam P. Strombergsson-DeNora, a solicitor in and for the Superior Court of the Province of Ontario, have personally examined the authorities listed in this schedule and am satisfied that each authority listed in this schedule is authentic.</w:t>
      </w:r>
      <w:r>
        <w:br w:type="page"/>
      </w:r>
    </w:p>
    <w:p>
      <w:pPr>
        <w:pStyle w:val="ListParagraph"/>
        <w:widowControl w:val="false"/>
        <w:suppressAutoHyphens w:val="true"/>
        <w:spacing w:lineRule="auto" w:line="480" w:before="0" w:after="0"/>
        <w:ind w:hanging="0" w:left="0"/>
        <w:contextualSpacing/>
        <w:jc w:val="center"/>
        <w:rPr>
          <w:b/>
          <w:bCs/>
          <w:i w:val="false"/>
          <w:i w:val="false"/>
          <w:iCs w:val="false"/>
        </w:rPr>
      </w:pPr>
      <w:r>
        <w:rPr>
          <w:b/>
          <w:bCs/>
          <w:i w:val="false"/>
          <w:iCs w:val="false"/>
        </w:rPr>
        <w:t>SCHEDULE B</w:t>
      </w:r>
    </w:p>
    <w:p>
      <w:pPr>
        <w:pStyle w:val="ListParagraph"/>
        <w:widowControl w:val="false"/>
        <w:suppressAutoHyphens w:val="true"/>
        <w:spacing w:lineRule="auto" w:line="480"/>
        <w:ind w:hanging="0" w:left="0"/>
        <w:jc w:val="center"/>
        <w:rPr>
          <w:i/>
          <w:i/>
          <w:iCs/>
        </w:rPr>
      </w:pPr>
      <w:r>
        <w:rPr>
          <w:i/>
          <w:iCs/>
        </w:rPr>
        <w:t>Legislative provisions</w:t>
      </w:r>
    </w:p>
    <w:p>
      <w:pPr>
        <w:pStyle w:val="ListParagraph"/>
        <w:widowControl w:val="false"/>
        <w:suppressAutoHyphens w:val="true"/>
        <w:spacing w:lineRule="auto" w:line="480"/>
        <w:ind w:hanging="0" w:left="0"/>
        <w:jc w:val="center"/>
        <w:rPr>
          <w:i w:val="false"/>
          <w:i w:val="false"/>
          <w:iCs w:val="false"/>
        </w:rPr>
      </w:pPr>
      <w:r>
        <w:rPr>
          <w:i w:val="false"/>
          <w:iCs w:val="false"/>
        </w:rPr>
      </w:r>
    </w:p>
    <w:p>
      <w:pPr>
        <w:pStyle w:val="ListParagraph"/>
        <w:widowControl w:val="false"/>
        <w:suppressAutoHyphens w:val="true"/>
        <w:spacing w:lineRule="auto" w:line="480"/>
        <w:ind w:hanging="0" w:left="0"/>
        <w:jc w:val="center"/>
        <w:rPr>
          <w:i w:val="false"/>
          <w:i w:val="false"/>
          <w:iCs w:val="false"/>
        </w:rPr>
      </w:pPr>
      <w:r>
        <w:rPr>
          <w:i w:val="false"/>
          <w:iCs w:val="false"/>
        </w:rPr>
      </w:r>
      <w:r>
        <w:br w:type="page"/>
      </w:r>
    </w:p>
    <w:p>
      <w:pPr>
        <w:pStyle w:val="ListParagraph"/>
        <w:widowControl w:val="false"/>
        <w:suppressAutoHyphens w:val="true"/>
        <w:spacing w:lineRule="auto" w:line="480" w:before="0" w:after="0"/>
        <w:ind w:hanging="0" w:left="0"/>
        <w:contextualSpacing/>
        <w:jc w:val="center"/>
        <w:rPr>
          <w:b/>
          <w:bCs/>
          <w:i w:val="false"/>
          <w:i w:val="false"/>
          <w:iCs w:val="false"/>
        </w:rPr>
      </w:pPr>
      <w:r>
        <w:rPr>
          <w:b/>
          <w:bCs/>
          <w:i w:val="false"/>
          <w:iCs w:val="false"/>
        </w:rPr>
        <w:t>SCHEDULE C</w:t>
      </w:r>
    </w:p>
    <w:p>
      <w:pPr>
        <w:pStyle w:val="ListParagraph"/>
        <w:widowControl w:val="false"/>
        <w:suppressAutoHyphens w:val="true"/>
        <w:spacing w:lineRule="auto" w:line="480"/>
        <w:ind w:hanging="0" w:left="0"/>
        <w:jc w:val="center"/>
        <w:rPr>
          <w:i/>
          <w:i/>
          <w:iCs/>
        </w:rPr>
      </w:pPr>
      <w:r>
        <w:rPr>
          <w:i/>
          <w:iCs/>
        </w:rPr>
        <w:t>Draft order</w:t>
      </w:r>
      <w:r>
        <w:br w:type="page"/>
      </w:r>
    </w:p>
    <w:p>
      <w:pPr>
        <w:pStyle w:val="zheadingx-e"/>
        <w:spacing w:lineRule="auto" w:line="276" w:before="0" w:after="0"/>
        <w:jc w:val="right"/>
        <w:rPr>
          <w:rFonts w:ascii="Times New Roman" w:hAnsi="Times New Roman"/>
          <w:sz w:val="24"/>
          <w:szCs w:val="24"/>
        </w:rPr>
      </w:pPr>
      <w:r>
        <w:rPr>
          <w:rFonts w:ascii="Times New Roman" w:hAnsi="Times New Roman"/>
          <w:sz w:val="24"/>
          <w:szCs w:val="24"/>
        </w:rPr>
      </w:r>
    </w:p>
    <w:p>
      <w:pPr>
        <w:pStyle w:val="zheadingx-e"/>
        <w:spacing w:lineRule="auto" w:line="276" w:before="0" w:after="0"/>
        <w:jc w:val="right"/>
        <w:rPr>
          <w:rFonts w:ascii="Times New Roman" w:hAnsi="Times New Roman"/>
          <w:sz w:val="24"/>
          <w:szCs w:val="24"/>
        </w:rPr>
      </w:pPr>
      <w:r>
        <w:rPr>
          <w:rFonts w:ascii="Times New Roman" w:hAnsi="Times New Roman"/>
          <w:sz w:val="24"/>
          <w:szCs w:val="24"/>
        </w:rPr>
      </w:r>
    </w:p>
    <w:p>
      <w:pPr>
        <w:pStyle w:val="Normal"/>
        <w:bidi w:val="0"/>
        <w:spacing w:lineRule="auto" w:line="288"/>
        <w:jc w:val="center"/>
        <w:rPr>
          <w:rFonts w:ascii="Times New Roman" w:hAnsi="Times New Roman"/>
          <w:sz w:val="24"/>
          <w:szCs w:val="24"/>
        </w:rPr>
      </w:pPr>
      <w:r>
        <w:rPr>
          <w:b w:val="false"/>
          <w:bCs w:val="false"/>
          <w:sz w:val="24"/>
          <w:szCs w:val="24"/>
        </w:rPr>
        <w:t>ONTARIO</w:t>
      </w:r>
    </w:p>
    <w:p>
      <w:pPr>
        <w:pStyle w:val="Normal"/>
        <w:bidi w:val="0"/>
        <w:spacing w:lineRule="auto" w:line="288"/>
        <w:jc w:val="center"/>
        <w:rPr>
          <w:rFonts w:ascii="Times New Roman" w:hAnsi="Times New Roman"/>
          <w:sz w:val="24"/>
          <w:szCs w:val="24"/>
        </w:rPr>
      </w:pPr>
      <w:r>
        <w:rPr>
          <w:b w:val="false"/>
          <w:bCs w:val="false"/>
          <w:sz w:val="24"/>
          <w:szCs w:val="24"/>
        </w:rPr>
        <w:t>SUPERIOR COURT OF JUSTICE</w:t>
      </w:r>
    </w:p>
    <w:p>
      <w:pPr>
        <w:pStyle w:val="Normal"/>
        <w:bidi w:val="0"/>
        <w:spacing w:lineRule="auto" w:line="288"/>
        <w:jc w:val="center"/>
        <w:rPr>
          <w:rFonts w:ascii="Times New Roman" w:hAnsi="Times New Roman"/>
          <w:b/>
          <w:bCs/>
          <w:sz w:val="24"/>
          <w:szCs w:val="24"/>
        </w:rPr>
      </w:pPr>
      <w:r>
        <w:rPr>
          <w:b/>
          <w:bCs/>
          <w:sz w:val="24"/>
          <w:szCs w:val="24"/>
        </w:rPr>
      </w:r>
    </w:p>
    <w:p>
      <w:pPr>
        <w:pStyle w:val="Normal"/>
        <w:bidi w:val="0"/>
        <w:jc w:val="left"/>
        <w:rPr>
          <w:rFonts w:ascii="Times New Roman" w:hAnsi="Times New Roman"/>
          <w:sz w:val="24"/>
          <w:szCs w:val="24"/>
        </w:rPr>
      </w:pPr>
      <w:r>
        <w:rPr>
          <w:sz w:val="24"/>
          <w:szCs w:val="24"/>
        </w:rPr>
        <w:t>THE HONOURABLE JUSTICE</w:t>
        <w:tab/>
        <w:tab/>
        <w:t>)</w:t>
        <w:tab/>
        <w:tab/>
        <w:tab/>
        <w:t xml:space="preserve">, THE </w:t>
      </w:r>
    </w:p>
    <w:p>
      <w:pPr>
        <w:pStyle w:val="Normal"/>
        <w:bidi w:val="0"/>
        <w:jc w:val="left"/>
        <w:rPr>
          <w:rFonts w:ascii="Times New Roman" w:hAnsi="Times New Roman"/>
          <w:sz w:val="24"/>
          <w:szCs w:val="24"/>
        </w:rPr>
      </w:pPr>
      <w:r>
        <w:rPr>
          <w:sz w:val="24"/>
          <w:szCs w:val="24"/>
        </w:rPr>
        <w:tab/>
        <w:tab/>
        <w:tab/>
        <w:tab/>
        <w:tab/>
        <w:tab/>
        <w:t>)</w:t>
        <w:tab/>
        <w:t xml:space="preserve"> </w:t>
      </w:r>
    </w:p>
    <w:p>
      <w:pPr>
        <w:pStyle w:val="Normal"/>
        <w:bidi w:val="0"/>
        <w:jc w:val="left"/>
        <w:rPr>
          <w:rFonts w:ascii="Times New Roman" w:hAnsi="Times New Roman"/>
          <w:sz w:val="24"/>
          <w:szCs w:val="24"/>
        </w:rPr>
      </w:pPr>
      <w:r>
        <w:rPr>
          <w:sz w:val="24"/>
          <w:szCs w:val="24"/>
        </w:rPr>
        <w:tab/>
      </w:r>
      <w:bookmarkStart w:id="5" w:name="__DdeLink__5_2920111396"/>
      <w:bookmarkStart w:id="6" w:name="__DdeLink__2_2920111396"/>
      <w:bookmarkStart w:id="7" w:name="__DdeLink__9_2920111396"/>
      <w:r>
        <w:rPr>
          <w:sz w:val="24"/>
          <w:szCs w:val="24"/>
        </w:rPr>
        <w:tab/>
        <w:tab/>
        <w:tab/>
        <w:tab/>
        <w:tab/>
        <w:t>)</w:t>
        <w:tab/>
        <w:t xml:space="preserve">DAY OF </w:t>
      </w:r>
      <w:bookmarkEnd w:id="5"/>
      <w:bookmarkEnd w:id="6"/>
      <w:bookmarkEnd w:id="7"/>
      <w:r>
        <w:rPr>
          <w:sz w:val="24"/>
          <w:szCs w:val="24"/>
          <w:shd w:fill="FFFF00" w:val="clear"/>
        </w:rPr>
        <w:t>[MONTH], [YEAR]</w:t>
      </w:r>
    </w:p>
    <w:p>
      <w:pPr>
        <w:pStyle w:val="Normal"/>
        <w:spacing w:lineRule="auto" w:line="276" w:before="0" w:after="0"/>
        <w:rPr>
          <w:rFonts w:ascii="Times New Roman" w:hAnsi="Times New Roman"/>
          <w:sz w:val="24"/>
          <w:szCs w:val="24"/>
        </w:rPr>
      </w:pPr>
      <w:r>
        <w:rPr>
          <w:sz w:val="24"/>
          <w:szCs w:val="24"/>
        </w:rPr>
        <w:t>B E T W E E N:</w:t>
      </w:r>
    </w:p>
    <w:p>
      <w:pPr>
        <w:pStyle w:val="Normal"/>
        <w:spacing w:lineRule="auto" w:line="276" w:before="0" w:after="0"/>
        <w:rPr>
          <w:rFonts w:ascii="Times New Roman" w:hAnsi="Times New Roman"/>
          <w:sz w:val="24"/>
          <w:szCs w:val="24"/>
        </w:rPr>
      </w:pPr>
      <w:r>
        <w:rPr>
          <w:sz w:val="24"/>
          <w:szCs w:val="24"/>
        </w:rPr>
      </w:r>
    </w:p>
    <w:p>
      <w:pPr>
        <w:pStyle w:val="zc-i-ul-e"/>
        <w:spacing w:lineRule="auto" w:line="276" w:before="0" w:after="0"/>
        <w:rPr>
          <w:b w:val="false"/>
          <w:bCs w:val="false"/>
          <w:i w:val="false"/>
          <w:i w:val="false"/>
          <w:iCs/>
        </w:rPr>
      </w:pPr>
      <w:r>
        <w:rPr>
          <w:b w:val="false"/>
          <w:bCs w:val="false"/>
          <w:i w:val="false"/>
          <w:iCs/>
        </w:rPr>
      </w:r>
    </w:p>
    <w:p>
      <w:pPr>
        <w:pStyle w:val="Normal"/>
        <w:spacing w:lineRule="auto" w:line="276" w:before="0" w:after="0"/>
        <w:jc w:val="right"/>
        <w:rPr>
          <w:rFonts w:ascii="Times New Roman" w:hAnsi="Times New Roman"/>
          <w:sz w:val="24"/>
          <w:szCs w:val="24"/>
        </w:rPr>
      </w:pPr>
      <w:r>
        <w:rPr>
          <w:sz w:val="24"/>
          <w:szCs w:val="24"/>
        </w:rPr>
        <w:t>plaintiff</w:t>
      </w:r>
    </w:p>
    <w:p>
      <w:pPr>
        <w:pStyle w:val="Normal"/>
        <w:spacing w:lineRule="auto" w:line="276" w:before="0" w:after="0"/>
        <w:jc w:val="center"/>
        <w:rPr>
          <w:rFonts w:ascii="Times New Roman" w:hAnsi="Times New Roman"/>
          <w:sz w:val="24"/>
          <w:szCs w:val="24"/>
        </w:rPr>
      </w:pPr>
      <w:r>
        <w:rPr>
          <w:sz w:val="24"/>
          <w:szCs w:val="24"/>
        </w:rPr>
      </w:r>
    </w:p>
    <w:p>
      <w:pPr>
        <w:pStyle w:val="Normal"/>
        <w:spacing w:lineRule="auto" w:line="276" w:before="0" w:after="0"/>
        <w:jc w:val="center"/>
        <w:rPr>
          <w:rFonts w:ascii="Times New Roman" w:hAnsi="Times New Roman"/>
          <w:sz w:val="24"/>
          <w:szCs w:val="24"/>
        </w:rPr>
      </w:pPr>
      <w:r>
        <w:rPr>
          <w:sz w:val="24"/>
          <w:szCs w:val="24"/>
        </w:rPr>
        <w:t>- and -</w:t>
      </w:r>
    </w:p>
    <w:p>
      <w:pPr>
        <w:pStyle w:val="Normal"/>
        <w:spacing w:lineRule="auto" w:line="276" w:before="0" w:after="0"/>
        <w:rPr>
          <w:rFonts w:ascii="Times New Roman" w:hAnsi="Times New Roman"/>
          <w:sz w:val="24"/>
          <w:szCs w:val="24"/>
        </w:rPr>
      </w:pPr>
      <w:r>
        <w:rPr>
          <w:sz w:val="24"/>
          <w:szCs w:val="24"/>
        </w:rPr>
      </w:r>
    </w:p>
    <w:p>
      <w:pPr>
        <w:pStyle w:val="zc-i-ul-e"/>
        <w:spacing w:lineRule="auto" w:line="276" w:before="0" w:after="0"/>
        <w:rPr>
          <w:b w:val="false"/>
          <w:bCs w:val="false"/>
          <w:i w:val="false"/>
          <w:i w:val="false"/>
          <w:iCs w:val="false"/>
          <w:lang w:val="en-GB"/>
        </w:rPr>
      </w:pPr>
      <w:r>
        <w:rPr>
          <w:b w:val="false"/>
          <w:bCs w:val="false"/>
          <w:i w:val="false"/>
          <w:iCs w:val="false"/>
          <w:lang w:val="en-GB"/>
        </w:rPr>
      </w:r>
    </w:p>
    <w:p>
      <w:pPr>
        <w:pStyle w:val="Normal"/>
        <w:spacing w:lineRule="auto" w:line="276" w:before="0" w:after="0"/>
        <w:jc w:val="right"/>
        <w:rPr>
          <w:rFonts w:ascii="Times New Roman" w:hAnsi="Times New Roman"/>
          <w:sz w:val="24"/>
          <w:szCs w:val="24"/>
        </w:rPr>
      </w:pPr>
      <w:r>
        <w:rPr>
          <w:sz w:val="24"/>
          <w:szCs w:val="24"/>
        </w:rPr>
        <w:t>defendants</w:t>
      </w:r>
    </w:p>
    <w:p>
      <w:pPr>
        <w:pStyle w:val="BodyText"/>
        <w:bidi w:val="0"/>
        <w:jc w:val="center"/>
        <w:rPr>
          <w:rFonts w:ascii="Times New Roman" w:hAnsi="Times New Roman"/>
          <w:b/>
          <w:bCs/>
          <w:sz w:val="24"/>
          <w:szCs w:val="24"/>
        </w:rPr>
      </w:pPr>
      <w:r>
        <w:rPr>
          <w:b/>
          <w:bCs/>
          <w:sz w:val="24"/>
          <w:szCs w:val="24"/>
        </w:rPr>
      </w:r>
    </w:p>
    <w:p>
      <w:pPr>
        <w:pStyle w:val="BodyText"/>
        <w:bidi w:val="0"/>
        <w:jc w:val="center"/>
        <w:rPr>
          <w:rFonts w:ascii="Times New Roman" w:hAnsi="Times New Roman"/>
          <w:sz w:val="24"/>
          <w:szCs w:val="24"/>
        </w:rPr>
      </w:pPr>
      <w:r>
        <w:rPr>
          <w:b/>
          <w:bCs/>
          <w:sz w:val="24"/>
          <w:szCs w:val="24"/>
        </w:rPr>
        <w:t xml:space="preserve">ORDER </w:t>
      </w:r>
    </w:p>
    <w:p>
      <w:pPr>
        <w:pStyle w:val="BodyText"/>
        <w:bidi w:val="0"/>
        <w:jc w:val="center"/>
        <w:rPr>
          <w:rFonts w:ascii="Times New Roman" w:hAnsi="Times New Roman"/>
          <w:b/>
          <w:bCs/>
          <w:sz w:val="24"/>
          <w:szCs w:val="24"/>
        </w:rPr>
      </w:pPr>
      <w:r>
        <w:rPr>
          <w:b/>
          <w:bCs/>
          <w:sz w:val="24"/>
          <w:szCs w:val="24"/>
        </w:rPr>
      </w:r>
    </w:p>
    <w:p>
      <w:pPr>
        <w:pStyle w:val="BLGParatabLevel1"/>
        <w:numPr>
          <w:ilvl w:val="0"/>
          <w:numId w:val="0"/>
        </w:numPr>
        <w:bidi w:val="0"/>
        <w:ind w:hanging="0" w:left="0"/>
        <w:jc w:val="left"/>
        <w:rPr>
          <w:rFonts w:ascii="Times New Roman" w:hAnsi="Times New Roman"/>
          <w:sz w:val="24"/>
          <w:szCs w:val="24"/>
        </w:rPr>
      </w:pPr>
      <w:r>
        <w:rPr>
          <w:sz w:val="24"/>
          <w:szCs w:val="24"/>
        </w:rPr>
        <w:t xml:space="preserve">THIS MOTION, made by the plaintiff, for an order that preserves the defendants’ assets, and for other relief, was heard this day at the courthouse located at </w:t>
      </w:r>
      <w:r>
        <w:rPr>
          <w:sz w:val="24"/>
          <w:szCs w:val="24"/>
          <w:shd w:fill="FFFF00" w:val="clear"/>
        </w:rPr>
        <w:t>[</w:t>
      </w:r>
      <w:r>
        <w:rPr>
          <w:i w:val="false"/>
          <w:iCs w:val="false"/>
          <w:color w:val="000000"/>
          <w:sz w:val="24"/>
          <w:szCs w:val="24"/>
          <w:shd w:fill="FFFF00" w:val="clear"/>
        </w:rPr>
        <w:t>COURTHOUSE ADDRESS]</w:t>
      </w:r>
      <w:r>
        <w:rPr>
          <w:sz w:val="24"/>
          <w:szCs w:val="24"/>
        </w:rPr>
        <w:t>.</w:t>
      </w:r>
    </w:p>
    <w:p>
      <w:pPr>
        <w:pStyle w:val="BLGParatabLevel1"/>
        <w:numPr>
          <w:ilvl w:val="0"/>
          <w:numId w:val="0"/>
        </w:numPr>
        <w:bidi w:val="0"/>
        <w:ind w:hanging="0" w:left="0"/>
        <w:jc w:val="left"/>
        <w:rPr>
          <w:rFonts w:ascii="Times New Roman" w:hAnsi="Times New Roman"/>
          <w:sz w:val="24"/>
          <w:szCs w:val="24"/>
        </w:rPr>
      </w:pPr>
      <w:r>
        <w:rPr>
          <w:sz w:val="24"/>
          <w:szCs w:val="24"/>
        </w:rPr>
        <w:t xml:space="preserve">ON READING the motion record of the plaintiff, which includes the notice of motion and the affidavit of </w:t>
      </w:r>
      <w:r>
        <w:rPr>
          <w:sz w:val="24"/>
          <w:szCs w:val="24"/>
          <w:shd w:fill="FFFF00" w:val="clear"/>
        </w:rPr>
        <w:t>[PLAINTIFF’S NAME]</w:t>
      </w:r>
      <w:r>
        <w:rPr>
          <w:sz w:val="24"/>
          <w:szCs w:val="24"/>
        </w:rPr>
        <w:t xml:space="preserve"> affirmed on </w:t>
      </w:r>
      <w:r>
        <w:rPr>
          <w:sz w:val="24"/>
          <w:szCs w:val="24"/>
          <w:shd w:fill="FFFF00" w:val="clear"/>
        </w:rPr>
        <w:t>[DATE]</w:t>
      </w:r>
      <w:r>
        <w:rPr>
          <w:sz w:val="24"/>
          <w:szCs w:val="24"/>
        </w:rPr>
        <w:t>, and on hearing the submissions of counsel for the plaintiff;</w:t>
      </w:r>
    </w:p>
    <w:p>
      <w:pPr>
        <w:pStyle w:val="BLGParatabLevel1"/>
        <w:numPr>
          <w:ilvl w:val="0"/>
          <w:numId w:val="0"/>
        </w:numPr>
        <w:bidi w:val="0"/>
        <w:ind w:hanging="0" w:left="0"/>
        <w:jc w:val="left"/>
        <w:rPr>
          <w:rFonts w:ascii="Times New Roman" w:hAnsi="Times New Roman"/>
          <w:sz w:val="24"/>
          <w:szCs w:val="24"/>
        </w:rPr>
      </w:pPr>
      <w:r>
        <w:rPr>
          <w:sz w:val="24"/>
          <w:szCs w:val="24"/>
        </w:rPr>
        <w:t>AND UPON the plaintiff, through her counsel, having undertaken to pay the reasonable costs of any person other than the responding party or another financial institution which have been incurred as a result of this order, including the costs of ascertaining whether a person holds any of the moving part</w:t>
      </w:r>
      <w:r>
        <w:rPr>
          <w:sz w:val="24"/>
          <w:szCs w:val="24"/>
          <w:u w:val="none"/>
        </w:rPr>
        <w:t>y’s assets;</w:t>
      </w:r>
    </w:p>
    <w:p>
      <w:pPr>
        <w:pStyle w:val="BLGParatabLevel1"/>
        <w:numPr>
          <w:ilvl w:val="0"/>
          <w:numId w:val="5"/>
        </w:numPr>
        <w:bidi w:val="0"/>
        <w:rPr>
          <w:rFonts w:ascii="Times New Roman" w:hAnsi="Times New Roman"/>
          <w:sz w:val="24"/>
          <w:szCs w:val="24"/>
        </w:rPr>
      </w:pPr>
      <w:r>
        <w:rPr>
          <w:sz w:val="24"/>
          <w:szCs w:val="24"/>
        </w:rPr>
        <w:t>THIS COURT ORDERS THAT the defendants are prohibited from removing from Ontario or in any way disposing of or diminishing the value of any of their assets which are in Ontario, whether held in their own name or not.</w:t>
      </w:r>
    </w:p>
    <w:p>
      <w:pPr>
        <w:pStyle w:val="BLGParatabLevel1"/>
        <w:widowControl/>
        <w:numPr>
          <w:ilvl w:val="0"/>
          <w:numId w:val="2"/>
        </w:numPr>
        <w:suppressAutoHyphens w:val="true"/>
        <w:overflowPunct w:val="false"/>
        <w:bidi w:val="0"/>
        <w:spacing w:before="0" w:after="240"/>
        <w:ind w:hanging="340" w:left="397" w:right="0"/>
        <w:jc w:val="both"/>
        <w:rPr>
          <w:rFonts w:ascii="Times New Roman" w:hAnsi="Times New Roman"/>
          <w:sz w:val="24"/>
          <w:szCs w:val="24"/>
        </w:rPr>
      </w:pPr>
      <w:r>
        <w:rPr>
          <w:sz w:val="24"/>
          <w:szCs w:val="24"/>
        </w:rPr>
        <w:t>THIS COURT FURTHER ORDERS THAT, without limiting the generality of paragraph 2 of this order, the defendants are prohibited from disposing of or removing from Ontario the following assets:</w:t>
      </w:r>
    </w:p>
    <w:p>
      <w:pPr>
        <w:pStyle w:val="BLGParatabLevel1"/>
        <w:numPr>
          <w:ilvl w:val="1"/>
          <w:numId w:val="2"/>
        </w:numPr>
        <w:rPr>
          <w:rFonts w:ascii="Times New Roman" w:hAnsi="Times New Roman"/>
          <w:sz w:val="24"/>
          <w:szCs w:val="24"/>
        </w:rPr>
      </w:pPr>
      <w:r>
        <w:rPr>
          <w:sz w:val="24"/>
          <w:szCs w:val="24"/>
        </w:rPr>
        <w:t>funds held in accounts administered by any financial institution that is permitted to operate in Canada or any part of Canada;</w:t>
      </w:r>
    </w:p>
    <w:p>
      <w:pPr>
        <w:pStyle w:val="BLGParatabLevel1"/>
        <w:numPr>
          <w:ilvl w:val="1"/>
          <w:numId w:val="2"/>
        </w:numPr>
        <w:rPr>
          <w:rFonts w:ascii="Times New Roman" w:hAnsi="Times New Roman"/>
          <w:sz w:val="24"/>
          <w:szCs w:val="24"/>
        </w:rPr>
      </w:pPr>
      <w:r>
        <w:rPr>
          <w:sz w:val="24"/>
          <w:szCs w:val="24"/>
        </w:rPr>
        <w:t>any security that could be liquidated in satisfaction of a debt; and</w:t>
      </w:r>
    </w:p>
    <w:p>
      <w:pPr>
        <w:pStyle w:val="BLGParatabLevel1"/>
        <w:numPr>
          <w:ilvl w:val="1"/>
          <w:numId w:val="2"/>
        </w:numPr>
        <w:rPr>
          <w:rFonts w:ascii="Times New Roman" w:hAnsi="Times New Roman"/>
          <w:sz w:val="24"/>
          <w:szCs w:val="24"/>
        </w:rPr>
      </w:pPr>
      <w:r>
        <w:rPr>
          <w:sz w:val="24"/>
          <w:szCs w:val="24"/>
        </w:rPr>
        <w:t>profits and current funds from any business or enterprise for which the person is the controlling mind.</w:t>
      </w:r>
    </w:p>
    <w:p>
      <w:pPr>
        <w:pStyle w:val="BLGParatabLevel1"/>
        <w:numPr>
          <w:ilvl w:val="0"/>
          <w:numId w:val="2"/>
        </w:numPr>
        <w:bidi w:val="0"/>
        <w:jc w:val="left"/>
        <w:rPr>
          <w:rFonts w:ascii="Times New Roman" w:hAnsi="Times New Roman"/>
          <w:sz w:val="24"/>
          <w:szCs w:val="24"/>
        </w:rPr>
      </w:pPr>
      <w:r>
        <w:rPr>
          <w:sz w:val="24"/>
          <w:szCs w:val="24"/>
        </w:rPr>
        <w:t xml:space="preserve">THIS COURT FURTHER ORDERS THAT all financial institutions that take cognizance of this order must disclose any and all transaction records in their possession from all checking, savings, and investment accounts held at any financial institution for any of the defendants, dating from </w:t>
      </w:r>
      <w:r>
        <w:rPr>
          <w:sz w:val="24"/>
          <w:szCs w:val="24"/>
          <w:shd w:fill="FFFF00" w:val="clear"/>
        </w:rPr>
        <w:t>[DATE]</w:t>
      </w:r>
      <w:r>
        <w:rPr>
          <w:sz w:val="24"/>
          <w:szCs w:val="24"/>
        </w:rPr>
        <w:t>, to the date of this order.</w:t>
      </w:r>
    </w:p>
    <w:p>
      <w:pPr>
        <w:pStyle w:val="BLGParatabLevel1"/>
        <w:numPr>
          <w:ilvl w:val="0"/>
          <w:numId w:val="2"/>
        </w:numPr>
        <w:rPr>
          <w:rFonts w:ascii="Times New Roman" w:hAnsi="Times New Roman"/>
          <w:sz w:val="24"/>
          <w:szCs w:val="24"/>
        </w:rPr>
      </w:pPr>
      <w:r>
        <w:rPr>
          <w:sz w:val="24"/>
          <w:szCs w:val="24"/>
        </w:rPr>
        <w:t xml:space="preserve">THIS COURT FURTHER ORDERS THAT the defendants will, without delay and, at all events, on or before </w:t>
      </w:r>
      <w:r>
        <w:rPr>
          <w:sz w:val="24"/>
          <w:szCs w:val="24"/>
          <w:shd w:fill="FFFF00" w:val="clear"/>
        </w:rPr>
        <w:t>[DATE]</w:t>
      </w:r>
      <w:r>
        <w:rPr>
          <w:sz w:val="24"/>
          <w:szCs w:val="24"/>
        </w:rPr>
        <w:t xml:space="preserve">, provide the lawyers for the moving party with an affidavit listing all of their assets, whether in their own names or not and whether jointly or solely owned, and include in such affidavit the value, location, and details of all such assets. </w:t>
      </w:r>
    </w:p>
    <w:p>
      <w:pPr>
        <w:pStyle w:val="BLGParatabLevel1"/>
        <w:numPr>
          <w:ilvl w:val="0"/>
          <w:numId w:val="2"/>
        </w:numPr>
        <w:rPr>
          <w:rFonts w:ascii="Times New Roman" w:hAnsi="Times New Roman"/>
          <w:sz w:val="24"/>
          <w:szCs w:val="24"/>
        </w:rPr>
      </w:pPr>
      <w:r>
        <w:rPr>
          <w:sz w:val="24"/>
          <w:szCs w:val="24"/>
        </w:rPr>
        <w:t xml:space="preserve">THIS COURT FURTHER ORDERS THAT nothing in this order prevents each defendant from drawing a total of $600.00 per week from one of their bank accounts for the purpose of normal and ordinary living expenses and reasonable amounts for legal representation in connection with this proceeding. </w:t>
      </w:r>
    </w:p>
    <w:p>
      <w:pPr>
        <w:pStyle w:val="BLGParatabLevel1"/>
        <w:numPr>
          <w:ilvl w:val="0"/>
          <w:numId w:val="2"/>
        </w:numPr>
        <w:rPr>
          <w:rFonts w:ascii="Times New Roman" w:hAnsi="Times New Roman"/>
          <w:sz w:val="24"/>
          <w:szCs w:val="24"/>
        </w:rPr>
      </w:pPr>
      <w:r>
        <w:rPr>
          <w:sz w:val="24"/>
          <w:szCs w:val="24"/>
        </w:rPr>
        <w:t>THIS COURT FURTHER ORDERS THAT any financial institution, professional, or business of any kind must, at the plaintiff’s written request, deliver up any records that it possesses with respect to the defendants’ financial dealings in Canada to the plaintiff’s lawyer.</w:t>
      </w:r>
    </w:p>
    <w:p>
      <w:pPr>
        <w:pStyle w:val="BLGParatabLevel1"/>
        <w:numPr>
          <w:ilvl w:val="0"/>
          <w:numId w:val="2"/>
        </w:numPr>
        <w:rPr>
          <w:rFonts w:ascii="Times New Roman" w:hAnsi="Times New Roman"/>
          <w:sz w:val="24"/>
          <w:szCs w:val="24"/>
        </w:rPr>
      </w:pPr>
      <w:r>
        <w:rPr>
          <w:sz w:val="24"/>
          <w:szCs w:val="24"/>
        </w:rPr>
        <w:t>THIS COURT FURTHER ORDERS THAT any financial institution, professional, or business of any kind will not assist the defendants with contravening this order or in any way frustrate any part of this order.</w:t>
      </w:r>
    </w:p>
    <w:p>
      <w:pPr>
        <w:pStyle w:val="BLGParatabLevel1"/>
        <w:numPr>
          <w:ilvl w:val="0"/>
          <w:numId w:val="2"/>
        </w:numPr>
        <w:bidi w:val="0"/>
        <w:jc w:val="left"/>
        <w:rPr>
          <w:rFonts w:ascii="Times New Roman" w:hAnsi="Times New Roman"/>
          <w:sz w:val="24"/>
          <w:szCs w:val="24"/>
        </w:rPr>
      </w:pPr>
      <w:r>
        <w:rPr>
          <w:sz w:val="24"/>
          <w:szCs w:val="24"/>
        </w:rPr>
        <w:t>THIS COURT FURTHER ORDERS THAT leave is granted to abridge the time for service and filing of the plaintiff’s motion materials.</w:t>
      </w:r>
    </w:p>
    <w:p>
      <w:pPr>
        <w:pStyle w:val="BLGParatabLevel1"/>
        <w:numPr>
          <w:ilvl w:val="0"/>
          <w:numId w:val="2"/>
        </w:numPr>
        <w:bidi w:val="0"/>
        <w:jc w:val="left"/>
        <w:rPr>
          <w:rFonts w:ascii="Times New Roman" w:hAnsi="Times New Roman"/>
          <w:sz w:val="24"/>
          <w:szCs w:val="24"/>
        </w:rPr>
      </w:pPr>
      <w:r>
        <w:rPr>
          <w:sz w:val="24"/>
          <w:szCs w:val="24"/>
        </w:rPr>
        <w:t xml:space="preserve">THIS COURT FURTHER ORDERS THAT the costs of this motion are fixed at $4,000.00 and are payable forthwith by the defendants. </w:t>
      </w:r>
    </w:p>
    <w:p>
      <w:pPr>
        <w:pStyle w:val="BodyText"/>
        <w:bidi w:val="0"/>
        <w:jc w:val="left"/>
        <w:rPr>
          <w:rFonts w:ascii="Times New Roman" w:hAnsi="Times New Roman"/>
          <w:sz w:val="24"/>
          <w:szCs w:val="24"/>
        </w:rPr>
      </w:pPr>
      <w:r>
        <w:rPr>
          <w:sz w:val="24"/>
          <w:szCs w:val="24"/>
        </w:rPr>
      </w:r>
    </w:p>
    <w:p>
      <w:pPr>
        <w:pStyle w:val="BodyText"/>
        <w:bidi w:val="0"/>
        <w:spacing w:lineRule="auto" w:line="276" w:before="0" w:after="0"/>
        <w:jc w:val="right"/>
        <w:rPr>
          <w:rFonts w:ascii="Times New Roman" w:hAnsi="Times New Roman"/>
          <w:sz w:val="24"/>
          <w:szCs w:val="24"/>
        </w:rPr>
      </w:pPr>
      <w:r>
        <w:rPr>
          <w:b/>
          <w:bCs/>
          <w:sz w:val="24"/>
          <w:szCs w:val="24"/>
        </w:rPr>
        <w:tab/>
      </w:r>
      <w:r>
        <w:rPr>
          <w:sz w:val="24"/>
          <w:szCs w:val="24"/>
        </w:rPr>
        <w:t>______________________________</w:t>
      </w:r>
    </w:p>
    <w:p>
      <w:pPr>
        <w:pStyle w:val="BodyText"/>
        <w:spacing w:lineRule="auto" w:line="276" w:before="0" w:after="0"/>
        <w:rPr>
          <w:rFonts w:ascii="Times New Roman" w:hAnsi="Times New Roman"/>
          <w:sz w:val="24"/>
          <w:szCs w:val="24"/>
        </w:rPr>
      </w:pPr>
      <w:r>
        <w:rPr>
          <w:iCs/>
          <w:sz w:val="24"/>
          <w:szCs w:val="24"/>
        </w:rPr>
        <w:tab/>
        <w:t xml:space="preserve">  </w:t>
        <w:tab/>
        <w:tab/>
        <w:tab/>
        <w:tab/>
        <w:tab/>
      </w:r>
    </w:p>
    <w:p>
      <w:pPr>
        <w:pStyle w:val="Normal"/>
        <w:keepNext w:val="false"/>
        <w:keepLines w:val="false"/>
        <w:widowControl w:val="false"/>
        <w:suppressAutoHyphens w:val="true"/>
        <w:spacing w:lineRule="auto" w:line="480"/>
        <w:rPr>
          <w:lang w:eastAsia="zh-CN"/>
        </w:rPr>
      </w:pPr>
      <w:r>
        <w:rPr>
          <w:lang w:eastAsia="zh-CN"/>
        </w:rPr>
      </w:r>
    </w:p>
    <w:p>
      <w:pPr>
        <w:pStyle w:val="Normal"/>
        <w:keepNext w:val="false"/>
        <w:keepLines w:val="false"/>
        <w:widowControl w:val="false"/>
        <w:suppressAutoHyphens w:val="true"/>
        <w:spacing w:lineRule="auto" w:line="480"/>
        <w:rPr/>
      </w:pPr>
      <w:r>
        <w:rPr/>
      </w:r>
    </w:p>
    <w:p>
      <w:pPr>
        <w:pStyle w:val="footnote-e"/>
        <w:keepNext w:val="false"/>
        <w:keepLines w:val="false"/>
        <w:widowControl w:val="false"/>
        <w:suppressAutoHyphens w:val="true"/>
        <w:rPr/>
      </w:pPr>
      <w:r>
        <w:rPr/>
      </w:r>
      <w:bookmarkStart w:id="8" w:name="__DdeLink__1731_3669901430_Copy_1_Copy_1"/>
      <w:bookmarkStart w:id="9" w:name="__DdeLink__1731_3669901430_Copy_2_Copy_1"/>
      <w:bookmarkStart w:id="10" w:name="__DdeLink__1731_3669901430_Copy_1_Copy_1"/>
      <w:bookmarkStart w:id="11" w:name="__DdeLink__1731_3669901430_Copy_2_Copy_1"/>
      <w:bookmarkEnd w:id="0"/>
      <w:bookmarkEnd w:id="10"/>
      <w:bookmarkEnd w:id="11"/>
    </w:p>
    <w:sectPr>
      <w:footnotePr>
        <w:numFmt w:val="decimal"/>
      </w:footnotePr>
      <w:type w:val="nextPage"/>
      <w:pgSz w:w="12240" w:h="15840"/>
      <w:pgMar w:left="1136" w:right="1136" w:gutter="0" w:header="0" w:top="1136" w:footer="0" w:bottom="11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erif">
    <w:altName w:val="Times New Roman"/>
    <w:charset w:val="01"/>
    <w:family w:val="roman"/>
    <w:pitch w:val="default"/>
  </w:font>
  <w:font w:name="OpenSymbol">
    <w:altName w:val="Arial Unicode MS"/>
    <w:charset w:val="01"/>
    <w:family w:val="auto"/>
    <w:pitch w:val="variable"/>
  </w:font>
  <w:font w:name="Carlito">
    <w:altName w:val="Calibri"/>
    <w:charset w:val="01"/>
    <w:family w:val="roman"/>
    <w:pitch w:val="variable"/>
  </w:font>
  <w:font w:name="Times">
    <w:altName w:val="Times New Roman"/>
    <w:charset w:val="01"/>
    <w:family w:val="roman"/>
    <w:pitch w:val="variable"/>
  </w:font>
  <w:font w:name="Times New Roman">
    <w:altName w:val="serif"/>
    <w:charset w:val="01"/>
    <w:family w:val="roman"/>
    <w:pitch w:val="variable"/>
  </w:font>
  <w:font w:name="Times new roman">
    <w:charset w:val="01"/>
    <w:family w:val="auto"/>
    <w:pitch w:val="variable"/>
  </w:font>
  <w:font w:name="Symbol">
    <w:charset w:val="02"/>
    <w:family w:val="auto"/>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i/>
          <w:iCs/>
        </w:rPr>
        <w:tab/>
        <w:t>Bell Canada v Rogers Communications Inc.</w:t>
      </w:r>
      <w:r>
        <w:rPr/>
        <w:t xml:space="preserve">, 2009 CanLII 39481 (ON SC), </w:t>
      </w:r>
      <w:r>
        <w:fldChar w:fldCharType="begin"/>
      </w:r>
      <w:r>
        <w:rPr>
          <w:rStyle w:val="Hyperlink"/>
        </w:rPr>
        <w:instrText xml:space="preserve"> HYPERLINK "https://canlii.ca/t/24vlw" \l "par39"</w:instrText>
      </w:r>
      <w:r>
        <w:rPr>
          <w:rStyle w:val="Hyperlink"/>
        </w:rPr>
        <w:fldChar w:fldCharType="separate"/>
      </w:r>
      <w:r>
        <w:rPr>
          <w:rStyle w:val="Hyperlink"/>
        </w:rPr>
        <w:t>para. 39</w:t>
      </w:r>
      <w:r>
        <w:rPr>
          <w:rStyle w:val="Hyperlink"/>
        </w:rPr>
        <w:fldChar w:fldCharType="end"/>
      </w:r>
      <w:r>
        <w:rPr/>
        <w:t>.</w:t>
      </w:r>
    </w:p>
  </w:footnote>
  <w:footnote w:id="3">
    <w:p>
      <w:pPr>
        <w:pStyle w:val="FootnoteText"/>
        <w:rPr/>
      </w:pPr>
      <w:r>
        <w:rPr>
          <w:rStyle w:val="FootnoteCharacters"/>
        </w:rPr>
        <w:footnoteRef/>
      </w:r>
      <w:r>
        <w:rPr>
          <w:i/>
          <w:iCs/>
        </w:rPr>
        <w:tab/>
        <w:t>Christian-Philip v Rajalingam</w:t>
      </w:r>
      <w:r>
        <w:rPr/>
        <w:t xml:space="preserve">, 2020 ONSC 1925, </w:t>
      </w:r>
      <w:r>
        <w:fldChar w:fldCharType="begin"/>
      </w:r>
      <w:r>
        <w:rPr>
          <w:rStyle w:val="Hyperlink"/>
        </w:rPr>
        <w:instrText xml:space="preserve"> HYPERLINK "https://canlii.ca/t/j63d4" \l "par10"</w:instrText>
      </w:r>
      <w:r>
        <w:rPr>
          <w:rStyle w:val="Hyperlink"/>
        </w:rPr>
        <w:fldChar w:fldCharType="separate"/>
      </w:r>
      <w:r>
        <w:rPr>
          <w:rStyle w:val="Hyperlink"/>
        </w:rPr>
        <w:t>para. 10</w:t>
      </w:r>
      <w:r>
        <w:rPr>
          <w:rStyle w:val="Hyperlink"/>
        </w:rPr>
        <w:fldChar w:fldCharType="end"/>
      </w:r>
      <w:r>
        <w:rPr/>
        <w:t>.</w:t>
      </w:r>
    </w:p>
  </w:footnote>
  <w:footnote w:id="4">
    <w:p>
      <w:pPr>
        <w:pStyle w:val="FootnoteText"/>
        <w:rPr/>
      </w:pPr>
      <w:r>
        <w:rPr>
          <w:rStyle w:val="FootnoteCharacters"/>
        </w:rPr>
        <w:footnoteRef/>
      </w:r>
      <w:r>
        <w:rPr>
          <w:i/>
          <w:iCs/>
        </w:rPr>
        <w:tab/>
        <w:t>City of Toronto v Polai</w:t>
      </w:r>
      <w:r>
        <w:rPr/>
        <w:t xml:space="preserve">, </w:t>
      </w:r>
      <w:hyperlink r:id="rId1">
        <w:r>
          <w:rPr>
            <w:rStyle w:val="Hyperlink"/>
          </w:rPr>
          <w:t>1969 CanLII 339 (ON CA)</w:t>
        </w:r>
      </w:hyperlink>
      <w:r>
        <w:rPr/>
        <w:t xml:space="preserve">; aff’d </w:t>
      </w:r>
      <w:hyperlink r:id="rId2">
        <w:r>
          <w:rPr>
            <w:rStyle w:val="Hyperlink"/>
          </w:rPr>
          <w:t>[1973] SCR 38</w:t>
        </w:r>
      </w:hyperlink>
      <w:r>
        <w:rPr/>
        <w:t>.</w:t>
      </w:r>
    </w:p>
  </w:footnote>
  <w:footnote w:id="5">
    <w:p>
      <w:pPr>
        <w:pStyle w:val="FootnoteText"/>
        <w:rPr/>
      </w:pPr>
      <w:r>
        <w:rPr>
          <w:rStyle w:val="FootnoteCharacters"/>
        </w:rPr>
        <w:footnoteRef/>
      </w:r>
      <w:r>
        <w:rPr>
          <w:i/>
          <w:iCs/>
        </w:rPr>
        <w:tab/>
        <w:t>R. v Fastfrate</w:t>
      </w:r>
      <w:r>
        <w:rPr/>
        <w:t xml:space="preserve">, </w:t>
      </w:r>
      <w:hyperlink r:id="rId3">
        <w:r>
          <w:rPr>
            <w:rStyle w:val="Hyperlink"/>
          </w:rPr>
          <w:t>1995 CanLII 1527 (ON CA)</w:t>
        </w:r>
      </w:hyperlink>
      <w:r>
        <w:rPr/>
        <w:t>.</w:t>
        <w:tab/>
      </w:r>
    </w:p>
  </w:footnote>
  <w:footnote w:id="6">
    <w:p>
      <w:pPr>
        <w:pStyle w:val="FootnoteText"/>
        <w:rPr/>
      </w:pPr>
      <w:r>
        <w:rPr>
          <w:rStyle w:val="FootnoteCharacters"/>
        </w:rPr>
        <w:footnoteRef/>
      </w:r>
      <w:r>
        <w:rPr>
          <w:i/>
          <w:iCs/>
        </w:rPr>
        <w:tab/>
        <w:t>O2 Electronics Inc. v Sualim</w:t>
      </w:r>
      <w:r>
        <w:rPr/>
        <w:t xml:space="preserve">, 2014 ONSC 5050, </w:t>
      </w:r>
      <w:r>
        <w:fldChar w:fldCharType="begin"/>
      </w:r>
      <w:r>
        <w:rPr>
          <w:rStyle w:val="Hyperlink"/>
        </w:rPr>
        <w:instrText xml:space="preserve"> HYPERLINK "https://canlii.ca/t/g8vwh" \l "par71"</w:instrText>
      </w:r>
      <w:r>
        <w:rPr>
          <w:rStyle w:val="Hyperlink"/>
        </w:rPr>
        <w:fldChar w:fldCharType="separate"/>
      </w:r>
      <w:r>
        <w:rPr>
          <w:rStyle w:val="Hyperlink"/>
        </w:rPr>
        <w:t>paras. 71-74</w:t>
      </w:r>
      <w:r>
        <w:rPr>
          <w:rStyle w:val="Hyperlink"/>
        </w:rPr>
        <w:fldChar w:fldCharType="end"/>
      </w:r>
      <w:r>
        <w:rPr/>
        <w:t>.</w:t>
      </w:r>
    </w:p>
  </w:footnote>
  <w:footnote w:id="7">
    <w:p>
      <w:pPr>
        <w:pStyle w:val="FootnoteText"/>
        <w:rPr/>
      </w:pPr>
      <w:r>
        <w:rPr>
          <w:rStyle w:val="FootnoteCharacters"/>
        </w:rPr>
        <w:footnoteRef/>
      </w:r>
      <w:r>
        <w:rPr/>
        <w:tab/>
        <w:t xml:space="preserve">Sherwood Dash Inc. v. Woodview Products Inc., 2005 CanLII 45978 (ON SC), </w:t>
      </w:r>
      <w:r>
        <w:fldChar w:fldCharType="begin"/>
      </w:r>
      <w:r>
        <w:rPr>
          <w:rStyle w:val="Hyperlink"/>
        </w:rPr>
        <w:instrText xml:space="preserve"> HYPERLINK "https://canlii.ca/t/1m5s3" \l "par52"</w:instrText>
      </w:r>
      <w:r>
        <w:rPr>
          <w:rStyle w:val="Hyperlink"/>
        </w:rPr>
        <w:fldChar w:fldCharType="separate"/>
      </w:r>
      <w:r>
        <w:rPr>
          <w:rStyle w:val="Hyperlink"/>
        </w:rPr>
        <w:t>para. 52</w:t>
      </w:r>
      <w:r>
        <w:rPr>
          <w:rStyle w:val="Hyperlink"/>
        </w:rPr>
        <w:fldChar w:fldCharType="end"/>
      </w:r>
      <w:r>
        <w:rPr/>
        <w:t>.</w:t>
      </w:r>
    </w:p>
  </w:footnote>
  <w:footnote w:id="8">
    <w:p>
      <w:pPr>
        <w:pStyle w:val="FootnoteText"/>
        <w:rPr/>
      </w:pPr>
      <w:r>
        <w:rPr>
          <w:rStyle w:val="FootnoteCharacters"/>
        </w:rPr>
        <w:footnoteRef/>
      </w:r>
      <w:r>
        <w:rPr/>
        <w:tab/>
        <w:t xml:space="preserve">John McGhee and Steven Elliott, </w:t>
      </w:r>
      <w:r>
        <w:rPr>
          <w:i/>
          <w:iCs/>
        </w:rPr>
        <w:t>Snell’s Equity</w:t>
      </w:r>
      <w:r>
        <w:rPr>
          <w:i w:val="false"/>
          <w:iCs w:val="false"/>
        </w:rPr>
        <w:t xml:space="preserve"> (34</w:t>
      </w:r>
      <w:r>
        <w:rPr>
          <w:i w:val="false"/>
          <w:iCs w:val="false"/>
          <w:vertAlign w:val="superscript"/>
        </w:rPr>
        <w:t>th</w:t>
      </w:r>
      <w:r>
        <w:rPr>
          <w:i w:val="false"/>
          <w:iCs w:val="false"/>
        </w:rPr>
        <w:t xml:space="preserve"> ed.), 2020, London: Sweet &amp; Maxwell, paras. 5-002, 5-004.</w:t>
      </w:r>
    </w:p>
  </w:footnote>
  <w:footnote w:id="9">
    <w:p>
      <w:pPr>
        <w:pStyle w:val="FootnoteText"/>
        <w:rPr/>
      </w:pPr>
      <w:r>
        <w:rPr>
          <w:rStyle w:val="FootnoteCharacters"/>
        </w:rPr>
        <w:footnoteRef/>
      </w:r>
      <w:r>
        <w:rPr>
          <w:i/>
          <w:iCs/>
        </w:rPr>
        <w:tab/>
        <w:t>Rules of Civil Procedure</w:t>
      </w:r>
      <w:r>
        <w:rPr/>
        <w:t xml:space="preserve">, RRO 1990, Reg 194, s. 40.01; </w:t>
      </w:r>
      <w:r>
        <w:rPr>
          <w:i/>
          <w:iCs/>
        </w:rPr>
        <w:t>Courts of Justice Act,</w:t>
      </w:r>
      <w:r>
        <w:rPr/>
        <w:t xml:space="preserve"> RSO 1990, c C.43, ss. 101(1), (2).</w:t>
      </w:r>
    </w:p>
  </w:footnote>
  <w:footnote w:id="10">
    <w:p>
      <w:pPr>
        <w:pStyle w:val="FootnoteText"/>
        <w:rPr/>
      </w:pPr>
      <w:r>
        <w:rPr>
          <w:rStyle w:val="FootnoteCharacters"/>
        </w:rPr>
        <w:footnoteRef/>
      </w:r>
      <w:r>
        <w:rPr>
          <w:i/>
          <w:iCs/>
        </w:rPr>
        <w:tab/>
        <w:t>Buduchnist Credit Union Limited v. 2321197 Ontario Inc.</w:t>
      </w:r>
      <w:r>
        <w:rPr/>
        <w:t xml:space="preserve">, 2024 ONCA 57, </w:t>
      </w:r>
      <w:r>
        <w:fldChar w:fldCharType="begin"/>
      </w:r>
      <w:r>
        <w:rPr>
          <w:rStyle w:val="Hyperlink"/>
        </w:rPr>
        <w:instrText xml:space="preserve"> HYPERLINK "https://canlii.ca/t/k2g97" \l "par46"</w:instrText>
      </w:r>
      <w:r>
        <w:rPr>
          <w:rStyle w:val="Hyperlink"/>
        </w:rPr>
        <w:fldChar w:fldCharType="separate"/>
      </w:r>
      <w:r>
        <w:rPr>
          <w:rStyle w:val="Hyperlink"/>
        </w:rPr>
        <w:t>para. 46</w:t>
      </w:r>
      <w:r>
        <w:rPr>
          <w:rStyle w:val="Hyperlink"/>
        </w:rPr>
        <w:fldChar w:fldCharType="end"/>
      </w:r>
      <w:r>
        <w:rPr/>
        <w:t>.</w:t>
      </w:r>
    </w:p>
  </w:footnote>
  <w:footnote w:id="11">
    <w:p>
      <w:pPr>
        <w:pStyle w:val="FootnoteText"/>
        <w:rPr/>
      </w:pPr>
      <w:r>
        <w:rPr>
          <w:rStyle w:val="FootnoteCharacters"/>
        </w:rPr>
        <w:footnoteRef/>
      </w:r>
      <w:r>
        <w:rPr>
          <w:i/>
          <w:iCs/>
        </w:rPr>
        <w:tab/>
        <w:t>Sabourin and Sun Group of Companies v Laiken</w:t>
      </w:r>
      <w:r>
        <w:rPr/>
        <w:t xml:space="preserve">, 2013 ONCA 530, para. </w:t>
      </w:r>
      <w:r>
        <w:fldChar w:fldCharType="begin"/>
      </w:r>
      <w:r>
        <w:rPr>
          <w:rStyle w:val="Hyperlink"/>
        </w:rPr>
        <w:instrText xml:space="preserve"> HYPERLINK "https://www.canlii.org/en/on/onca/doc/2013/2013onca530/2013onca530.html" \l "par53"</w:instrText>
      </w:r>
      <w:r>
        <w:rPr>
          <w:rStyle w:val="Hyperlink"/>
        </w:rPr>
        <w:fldChar w:fldCharType="separate"/>
      </w:r>
      <w:r>
        <w:rPr>
          <w:rStyle w:val="Hyperlink"/>
        </w:rPr>
        <w:t>53</w:t>
      </w:r>
      <w:r>
        <w:rPr>
          <w:rStyle w:val="Hyperlink"/>
        </w:rPr>
        <w:fldChar w:fldCharType="end"/>
      </w:r>
      <w:r>
        <w:rPr/>
        <w:t xml:space="preserve">, aff’d Carey v. Laiken, </w:t>
      </w:r>
      <w:hyperlink r:id="rId4">
        <w:r>
          <w:rPr>
            <w:rStyle w:val="Hyperlink"/>
          </w:rPr>
          <w:t>2015 SCC 17</w:t>
        </w:r>
      </w:hyperlink>
      <w:r>
        <w:rPr/>
        <w:t>.</w:t>
      </w:r>
    </w:p>
  </w:footnote>
  <w:footnote w:id="12">
    <w:p>
      <w:pPr>
        <w:pStyle w:val="FootnoteText"/>
        <w:rPr/>
      </w:pPr>
      <w:r>
        <w:rPr>
          <w:rStyle w:val="FootnoteCharacters"/>
        </w:rPr>
        <w:footnoteRef/>
      </w:r>
      <w:r>
        <w:rPr>
          <w:i/>
          <w:iCs/>
        </w:rPr>
        <w:tab/>
        <w:t>Sabourin and Sun Group of Companies v Laiken</w:t>
      </w:r>
      <w:r>
        <w:rPr/>
        <w:t xml:space="preserve">, 2013 ONCA 530, para. </w:t>
      </w:r>
      <w:r>
        <w:fldChar w:fldCharType="begin"/>
      </w:r>
      <w:r>
        <w:rPr>
          <w:rStyle w:val="Hyperlink"/>
        </w:rPr>
        <w:instrText xml:space="preserve"> HYPERLINK "https://www.canlii.org/en/on/onca/doc/2013/2013onca530/2013onca530.html" \l "par53"</w:instrText>
      </w:r>
      <w:r>
        <w:rPr>
          <w:rStyle w:val="Hyperlink"/>
        </w:rPr>
        <w:fldChar w:fldCharType="separate"/>
      </w:r>
      <w:r>
        <w:rPr>
          <w:rStyle w:val="Hyperlink"/>
        </w:rPr>
        <w:t>53</w:t>
      </w:r>
      <w:r>
        <w:rPr>
          <w:rStyle w:val="Hyperlink"/>
        </w:rPr>
        <w:fldChar w:fldCharType="end"/>
      </w:r>
      <w:r>
        <w:rPr/>
        <w:t>.</w:t>
      </w:r>
    </w:p>
  </w:footnote>
  <w:footnote w:id="13">
    <w:p>
      <w:pPr>
        <w:pStyle w:val="FootnoteText"/>
        <w:rPr/>
      </w:pPr>
      <w:r>
        <w:rPr>
          <w:rStyle w:val="FootnoteCharacters"/>
        </w:rPr>
        <w:footnoteRef/>
      </w:r>
      <w:r>
        <w:rPr>
          <w:i/>
          <w:iCs/>
        </w:rPr>
        <w:tab/>
        <w:t>Aetna Financial Services Ltd. v Feigelman</w:t>
      </w:r>
      <w:r>
        <w:rPr/>
        <w:t xml:space="preserve">, </w:t>
      </w:r>
      <w:hyperlink r:id="rId5">
        <w:r>
          <w:rPr>
            <w:rStyle w:val="Hyperlink"/>
          </w:rPr>
          <w:t>1985 CanLII 55 (SCC)</w:t>
        </w:r>
      </w:hyperlink>
      <w:r>
        <w:rPr/>
        <w:t>.</w:t>
      </w:r>
    </w:p>
  </w:footnote>
  <w:footnote w:id="14">
    <w:p>
      <w:pPr>
        <w:pStyle w:val="FootnoteText"/>
        <w:widowControl/>
        <w:suppressLineNumbers/>
        <w:suppressAutoHyphens w:val="true"/>
        <w:bidi w:val="0"/>
        <w:spacing w:before="0" w:after="0"/>
        <w:ind w:hanging="0" w:left="0" w:right="0"/>
        <w:jc w:val="left"/>
        <w:rPr/>
      </w:pPr>
      <w:r>
        <w:rPr>
          <w:rStyle w:val="FootnoteCharacters"/>
        </w:rPr>
        <w:footnoteRef/>
      </w:r>
      <w:r>
        <w:rPr>
          <w:i/>
          <w:iCs/>
        </w:rPr>
        <w:t>HZC Capital Inc. v Lee,</w:t>
      </w:r>
      <w:r>
        <w:rPr>
          <w:i w:val="false"/>
          <w:iCs w:val="false"/>
        </w:rPr>
        <w:t xml:space="preserve"> 2019 ONSC 4622, </w:t>
      </w:r>
      <w:r>
        <w:fldChar w:fldCharType="begin"/>
      </w:r>
      <w:r>
        <w:rPr>
          <w:rStyle w:val="Hyperlink"/>
          <w:i w:val="false"/>
          <w:iCs w:val="false"/>
        </w:rPr>
        <w:instrText xml:space="preserve"> HYPERLINK "https://canlii.ca/t/j1s0v" \l "par45"</w:instrText>
      </w:r>
      <w:r>
        <w:rPr>
          <w:rStyle w:val="Hyperlink"/>
          <w:i w:val="false"/>
          <w:iCs w:val="false"/>
        </w:rPr>
        <w:fldChar w:fldCharType="separate"/>
      </w:r>
      <w:r>
        <w:rPr>
          <w:rStyle w:val="Hyperlink"/>
          <w:i w:val="false"/>
          <w:iCs w:val="false"/>
        </w:rPr>
        <w:t>para. 45</w:t>
      </w:r>
      <w:r>
        <w:rPr>
          <w:rStyle w:val="Hyperlink"/>
          <w:i w:val="false"/>
          <w:iCs w:val="false"/>
        </w:rPr>
        <w:fldChar w:fldCharType="end"/>
      </w:r>
      <w:r>
        <w:rPr>
          <w:i w:val="false"/>
          <w:iCs w:val="false"/>
        </w:rPr>
        <w:t xml:space="preserve">; </w:t>
      </w:r>
      <w:r>
        <w:rPr>
          <w:i/>
          <w:iCs/>
        </w:rPr>
        <w:t>Jajj v 100337 Canada Ltd</w:t>
      </w:r>
      <w:r>
        <w:rPr/>
        <w:t xml:space="preserve"> (cob BJ International/BJ Supermarket), 2014 ONSC 557 at </w:t>
      </w:r>
      <w:r>
        <w:fldChar w:fldCharType="begin"/>
      </w:r>
      <w:r>
        <w:rPr>
          <w:rStyle w:val="Hyperlink"/>
        </w:rPr>
        <w:instrText xml:space="preserve"> HYPERLINK "https://canlii.ca/t/g2xdn" \l "par131"</w:instrText>
      </w:r>
      <w:r>
        <w:rPr>
          <w:rStyle w:val="Hyperlink"/>
        </w:rPr>
        <w:fldChar w:fldCharType="separate"/>
      </w:r>
      <w:r>
        <w:rPr>
          <w:rStyle w:val="Hyperlink"/>
        </w:rPr>
        <w:t>para 131</w:t>
      </w:r>
      <w:r>
        <w:rPr>
          <w:rStyle w:val="Hyperlink"/>
        </w:rPr>
        <w:fldChar w:fldCharType="end"/>
      </w:r>
      <w:r>
        <w:rPr/>
        <w:t xml:space="preserve">, citing </w:t>
      </w:r>
      <w:r>
        <w:rPr>
          <w:i/>
          <w:iCs/>
        </w:rPr>
        <w:t>Chitel v Rothbart,</w:t>
      </w:r>
      <w:r>
        <w:rPr/>
        <w:t xml:space="preserve">  </w:t>
      </w:r>
      <w:r>
        <w:fldChar w:fldCharType="begin"/>
      </w:r>
      <w:r>
        <w:rPr>
          <w:rStyle w:val="Hyperlink"/>
        </w:rPr>
        <w:instrText xml:space="preserve"> HYPERLINK "https://www.canlii.org/en/on/onca/doc/1982/1982canlii1956/1982canlii1956.html" \l "par56"</w:instrText>
      </w:r>
      <w:r>
        <w:rPr>
          <w:rStyle w:val="Hyperlink"/>
        </w:rPr>
        <w:fldChar w:fldCharType="separate"/>
      </w:r>
      <w:r>
        <w:rPr>
          <w:rStyle w:val="Hyperlink"/>
        </w:rPr>
        <w:t>para 56</w:t>
      </w:r>
      <w:r>
        <w:rPr>
          <w:rStyle w:val="Hyperlink"/>
        </w:rPr>
        <w:fldChar w:fldCharType="end"/>
      </w:r>
      <w:r>
        <w:rPr/>
        <w:t xml:space="preserve">; </w:t>
      </w:r>
      <w:r>
        <w:rPr>
          <w:i/>
          <w:iCs/>
        </w:rPr>
        <w:t>Aetna Financial Services Ltd v Feigelman,</w:t>
      </w:r>
      <w:r>
        <w:rPr/>
        <w:t xml:space="preserve"> </w:t>
      </w:r>
      <w:hyperlink r:id="rId6">
        <w:r>
          <w:rPr>
            <w:rStyle w:val="Hyperlink"/>
          </w:rPr>
          <w:t>1985 CanLII 55 (SCC)</w:t>
        </w:r>
      </w:hyperlink>
      <w:r>
        <w:rPr/>
        <w:t xml:space="preserve">. </w:t>
      </w:r>
    </w:p>
  </w:footnote>
  <w:footnote w:id="15">
    <w:p>
      <w:pPr>
        <w:pStyle w:val="FootnoteText"/>
        <w:rPr/>
      </w:pPr>
      <w:r>
        <w:rPr>
          <w:rStyle w:val="FootnoteCharacters"/>
        </w:rPr>
        <w:footnoteRef/>
      </w:r>
      <w:r>
        <w:rPr>
          <w:i/>
          <w:iCs/>
        </w:rPr>
        <w:tab/>
        <w:t>Chitel v Rothbart</w:t>
      </w:r>
      <w:r>
        <w:rPr/>
        <w:t xml:space="preserve">, </w:t>
      </w:r>
      <w:hyperlink r:id="rId7">
        <w:r>
          <w:rPr>
            <w:rStyle w:val="Hyperlink"/>
            <w:i w:val="false"/>
            <w:iCs w:val="false"/>
          </w:rPr>
          <w:t>1982 CanLII 1956</w:t>
        </w:r>
      </w:hyperlink>
      <w:r>
        <w:rPr>
          <w:i w:val="false"/>
          <w:iCs w:val="false"/>
        </w:rPr>
        <w:t xml:space="preserve"> (ONCA)</w:t>
      </w:r>
      <w:r>
        <w:rPr>
          <w:i/>
          <w:iCs/>
        </w:rPr>
        <w:t>.</w:t>
      </w:r>
      <w:r>
        <w:rPr/>
        <w:t xml:space="preserve"> </w:t>
      </w:r>
    </w:p>
  </w:footnote>
  <w:footnote w:id="16">
    <w:p>
      <w:pPr>
        <w:pStyle w:val="FootnoteText"/>
        <w:widowControl/>
        <w:suppressLineNumbers/>
        <w:suppressAutoHyphens w:val="true"/>
        <w:bidi w:val="0"/>
        <w:spacing w:before="0" w:after="0"/>
        <w:ind w:hanging="340" w:left="340" w:right="0"/>
        <w:jc w:val="left"/>
        <w:rPr/>
      </w:pPr>
      <w:r>
        <w:rPr>
          <w:rStyle w:val="FootnoteCharacters"/>
        </w:rPr>
        <w:footnoteRef/>
      </w:r>
      <w:r>
        <w:rPr>
          <w:i/>
          <w:iCs/>
        </w:rPr>
        <w:tab/>
        <w:t>Lambrou v Voudouris,</w:t>
      </w:r>
      <w:r>
        <w:rPr/>
        <w:t xml:space="preserve"> 2015 ONSC 998, </w:t>
      </w:r>
      <w:r>
        <w:fldChar w:fldCharType="begin"/>
      </w:r>
      <w:r>
        <w:rPr>
          <w:rStyle w:val="Hyperlink"/>
        </w:rPr>
        <w:instrText xml:space="preserve"> HYPERLINK "https://canlii.ca/t/gg9km" \l "par5"</w:instrText>
      </w:r>
      <w:r>
        <w:rPr>
          <w:rStyle w:val="Hyperlink"/>
        </w:rPr>
        <w:fldChar w:fldCharType="separate"/>
      </w:r>
      <w:r>
        <w:rPr>
          <w:rStyle w:val="Hyperlink"/>
        </w:rPr>
        <w:t>para 5</w:t>
      </w:r>
      <w:r>
        <w:rPr>
          <w:rStyle w:val="Hyperlink"/>
        </w:rPr>
        <w:fldChar w:fldCharType="end"/>
      </w:r>
      <w:r>
        <w:rPr/>
        <w:t>.</w:t>
      </w:r>
    </w:p>
  </w:footnote>
  <w:footnote w:id="17">
    <w:p>
      <w:pPr>
        <w:pStyle w:val="FootnoteText"/>
        <w:rPr/>
      </w:pPr>
      <w:r>
        <w:rPr>
          <w:rStyle w:val="FootnoteCharacters"/>
        </w:rPr>
        <w:footnoteRef/>
      </w:r>
      <w:r>
        <w:rPr>
          <w:i/>
          <w:iCs/>
        </w:rPr>
        <w:tab/>
        <w:t>Lee v Lalu Canada Inc.</w:t>
      </w:r>
      <w:r>
        <w:rPr>
          <w:i w:val="false"/>
          <w:iCs w:val="false"/>
        </w:rPr>
        <w:t xml:space="preserve">, </w:t>
      </w:r>
      <w:r>
        <w:rPr/>
        <w:t xml:space="preserve">2020 ONCA 344, </w:t>
      </w:r>
      <w:r>
        <w:fldChar w:fldCharType="begin"/>
      </w:r>
      <w:r>
        <w:rPr>
          <w:rStyle w:val="Hyperlink"/>
        </w:rPr>
        <w:instrText xml:space="preserve"> HYPERLINK "https://canlii.ca/t/j817f" \l "par32"</w:instrText>
      </w:r>
      <w:r>
        <w:rPr>
          <w:rStyle w:val="Hyperlink"/>
        </w:rPr>
        <w:fldChar w:fldCharType="separate"/>
      </w:r>
      <w:r>
        <w:rPr>
          <w:rStyle w:val="Hyperlink"/>
        </w:rPr>
        <w:t>para. 32</w:t>
      </w:r>
      <w:r>
        <w:rPr>
          <w:rStyle w:val="Hyperlink"/>
        </w:rPr>
        <w:fldChar w:fldCharType="end"/>
      </w:r>
      <w:r>
        <w:rPr/>
        <w:t xml:space="preserve">, </w:t>
      </w:r>
      <w:r>
        <w:rPr>
          <w:i/>
          <w:iCs/>
        </w:rPr>
        <w:t>vide.</w:t>
      </w:r>
      <w:r>
        <w:rPr>
          <w:i w:val="false"/>
          <w:iCs w:val="false"/>
        </w:rPr>
        <w:t xml:space="preserve"> </w:t>
      </w:r>
      <w:r>
        <w:fldChar w:fldCharType="begin"/>
      </w:r>
      <w:r>
        <w:rPr>
          <w:rStyle w:val="Hyperlink"/>
          <w:i w:val="false"/>
          <w:iCs w:val="false"/>
        </w:rPr>
        <w:instrText xml:space="preserve"> HYPERLINK "https://canlii.ca/t/j817f" \l "par34"</w:instrText>
      </w:r>
      <w:r>
        <w:rPr>
          <w:rStyle w:val="Hyperlink"/>
          <w:i w:val="false"/>
          <w:iCs w:val="false"/>
        </w:rPr>
        <w:fldChar w:fldCharType="separate"/>
      </w:r>
      <w:r>
        <w:rPr>
          <w:rStyle w:val="Hyperlink"/>
          <w:i w:val="false"/>
          <w:iCs w:val="false"/>
        </w:rPr>
        <w:t>para. 34</w:t>
      </w:r>
      <w:r>
        <w:rPr>
          <w:rStyle w:val="Hyperlink"/>
          <w:i w:val="false"/>
          <w:iCs w:val="false"/>
        </w:rPr>
        <w:fldChar w:fldCharType="end"/>
      </w:r>
      <w:r>
        <w:rPr/>
        <w:t>.</w:t>
      </w:r>
    </w:p>
  </w:footnote>
  <w:footnote w:id="18">
    <w:p>
      <w:pPr>
        <w:pStyle w:val="FootnoteText"/>
        <w:widowControl/>
        <w:suppressLineNumbers/>
        <w:suppressAutoHyphens w:val="true"/>
        <w:bidi w:val="0"/>
        <w:spacing w:before="0" w:after="0"/>
        <w:ind w:hanging="0" w:left="0" w:right="0"/>
        <w:jc w:val="left"/>
        <w:rPr/>
      </w:pPr>
      <w:r>
        <w:rPr>
          <w:rStyle w:val="FootnoteCharacters"/>
        </w:rPr>
        <w:footnoteRef/>
      </w:r>
      <w:r>
        <w:rPr>
          <w:i/>
          <w:iCs/>
        </w:rPr>
        <w:t xml:space="preserve">Petro-Diamond Incorporated v Verdeo Inc., </w:t>
      </w:r>
      <w:r>
        <w:rPr/>
        <w:t xml:space="preserve">2014 ONSC 2917, </w:t>
      </w:r>
      <w:r>
        <w:fldChar w:fldCharType="begin"/>
      </w:r>
      <w:r>
        <w:rPr>
          <w:rStyle w:val="Hyperlink"/>
        </w:rPr>
        <w:instrText xml:space="preserve"> HYPERLINK "https://canlii.ca/t/g73d0" \l "par25"</w:instrText>
      </w:r>
      <w:r>
        <w:rPr>
          <w:rStyle w:val="Hyperlink"/>
        </w:rPr>
        <w:fldChar w:fldCharType="separate"/>
      </w:r>
      <w:r>
        <w:rPr>
          <w:rStyle w:val="Hyperlink"/>
        </w:rPr>
        <w:t>para. 25</w:t>
      </w:r>
      <w:r>
        <w:rPr>
          <w:rStyle w:val="Hyperlink"/>
        </w:rPr>
        <w:fldChar w:fldCharType="end"/>
      </w:r>
      <w:r>
        <w:rPr/>
        <w:t xml:space="preserve">; </w:t>
      </w:r>
      <w:r>
        <w:rPr>
          <w:i/>
          <w:iCs/>
        </w:rPr>
        <w:t>Wayne Safety Inc. v Gendelman</w:t>
      </w:r>
      <w:r>
        <w:rPr/>
        <w:t xml:space="preserve">, 2023 ONSC 2478, </w:t>
      </w:r>
      <w:r>
        <w:fldChar w:fldCharType="begin"/>
      </w:r>
      <w:r>
        <w:rPr>
          <w:rStyle w:val="Hyperlink"/>
        </w:rPr>
        <w:instrText xml:space="preserve"> HYPERLINK "https://canlii.ca/t/jwtqk" \l "par38"</w:instrText>
      </w:r>
      <w:r>
        <w:rPr>
          <w:rStyle w:val="Hyperlink"/>
        </w:rPr>
        <w:fldChar w:fldCharType="separate"/>
      </w:r>
      <w:r>
        <w:rPr>
          <w:rStyle w:val="Hyperlink"/>
        </w:rPr>
        <w:t>para. 38</w:t>
      </w:r>
      <w:r>
        <w:rPr>
          <w:rStyle w:val="Hyperlink"/>
        </w:rPr>
        <w:fldChar w:fldCharType="end"/>
      </w:r>
      <w:r>
        <w:rPr/>
        <w:t xml:space="preserve">; </w:t>
      </w:r>
      <w:r>
        <w:rPr>
          <w:i/>
          <w:iCs/>
        </w:rPr>
        <w:t>Original Traders Energy Ltd., (Re)</w:t>
      </w:r>
      <w:r>
        <w:rPr/>
        <w:t xml:space="preserve">, 2024 ONSC 325, </w:t>
      </w:r>
      <w:r>
        <w:fldChar w:fldCharType="begin"/>
      </w:r>
      <w:r>
        <w:rPr>
          <w:rStyle w:val="Hyperlink"/>
        </w:rPr>
        <w:instrText xml:space="preserve"> HYPERLINK "https://canlii.ca/t/k2ckl" \l "par38"</w:instrText>
      </w:r>
      <w:r>
        <w:rPr>
          <w:rStyle w:val="Hyperlink"/>
        </w:rPr>
        <w:fldChar w:fldCharType="separate"/>
      </w:r>
      <w:r>
        <w:rPr>
          <w:rStyle w:val="Hyperlink"/>
        </w:rPr>
        <w:t>para. 38</w:t>
      </w:r>
      <w:r>
        <w:rPr>
          <w:rStyle w:val="Hyperlink"/>
        </w:rPr>
        <w:fldChar w:fldCharType="end"/>
      </w:r>
      <w:r>
        <w:rPr/>
        <w:t>.</w:t>
      </w:r>
    </w:p>
  </w:footnote>
  <w:footnote w:id="19">
    <w:p>
      <w:pPr>
        <w:pStyle w:val="FootnoteText"/>
        <w:rPr/>
      </w:pPr>
      <w:r>
        <w:rPr>
          <w:rStyle w:val="FootnoteCharacters"/>
        </w:rPr>
        <w:footnoteRef/>
      </w:r>
      <w:r>
        <w:rPr>
          <w:i/>
          <w:iCs/>
        </w:rPr>
        <w:tab/>
        <w:t>Rana v Malik</w:t>
      </w:r>
      <w:r>
        <w:rPr/>
        <w:t xml:space="preserve">, 2014 ONSC 701, </w:t>
      </w:r>
      <w:r>
        <w:fldChar w:fldCharType="begin"/>
      </w:r>
      <w:r>
        <w:rPr>
          <w:rStyle w:val="Hyperlink"/>
        </w:rPr>
        <w:instrText xml:space="preserve"> HYPERLINK "https://canlii.ca/t/g2wt5" \l "par69"</w:instrText>
      </w:r>
      <w:r>
        <w:rPr>
          <w:rStyle w:val="Hyperlink"/>
        </w:rPr>
        <w:fldChar w:fldCharType="separate"/>
      </w:r>
      <w:r>
        <w:rPr>
          <w:rStyle w:val="Hyperlink"/>
        </w:rPr>
        <w:t>paras. 69-74</w:t>
      </w:r>
      <w:r>
        <w:rPr>
          <w:rStyle w:val="Hyperlink"/>
        </w:rPr>
        <w:fldChar w:fldCharType="end"/>
      </w:r>
      <w:r>
        <w:rPr/>
        <w:t>.</w:t>
      </w:r>
    </w:p>
  </w:footnote>
  <w:footnote w:id="20">
    <w:p>
      <w:pPr>
        <w:pStyle w:val="FootnoteText"/>
        <w:rPr/>
      </w:pPr>
      <w:r>
        <w:rPr>
          <w:rStyle w:val="FootnoteCharacters"/>
        </w:rPr>
        <w:footnoteRef/>
      </w:r>
      <w:r>
        <w:rPr>
          <w:i/>
          <w:iCs/>
        </w:rPr>
        <w:tab/>
        <w:t>Ibidem</w:t>
      </w:r>
      <w:r>
        <w:rPr>
          <w:i w:val="false"/>
          <w:iCs w:val="false"/>
        </w:rPr>
        <w:t>, para. 72.</w:t>
      </w:r>
    </w:p>
  </w:footnote>
  <w:footnote w:id="21">
    <w:p>
      <w:pPr>
        <w:pStyle w:val="FootnoteText"/>
        <w:rPr/>
      </w:pPr>
      <w:r>
        <w:rPr>
          <w:rStyle w:val="FootnoteCharacters"/>
        </w:rPr>
        <w:footnoteRef/>
      </w:r>
      <w:r>
        <w:rPr>
          <w:i/>
          <w:iCs/>
        </w:rPr>
        <w:tab/>
        <w:t>Sibley &amp; Associates LP v Ross</w:t>
      </w:r>
      <w:r>
        <w:rPr>
          <w:i w:val="false"/>
          <w:iCs w:val="false"/>
        </w:rPr>
        <w:t xml:space="preserve">, 2011 ONSC 2951, </w:t>
      </w:r>
      <w:r>
        <w:fldChar w:fldCharType="begin"/>
      </w:r>
      <w:r>
        <w:rPr>
          <w:rStyle w:val="Hyperlink"/>
          <w:i w:val="false"/>
          <w:iCs w:val="false"/>
        </w:rPr>
        <w:instrText xml:space="preserve"> HYPERLINK "https://canlii.ca/t/flsvl" \l "par63"</w:instrText>
      </w:r>
      <w:r>
        <w:rPr>
          <w:rStyle w:val="Hyperlink"/>
          <w:i w:val="false"/>
          <w:iCs w:val="false"/>
        </w:rPr>
        <w:fldChar w:fldCharType="separate"/>
      </w:r>
      <w:r>
        <w:rPr>
          <w:rStyle w:val="Hyperlink"/>
          <w:i w:val="false"/>
          <w:iCs w:val="false"/>
        </w:rPr>
        <w:t>paras. 63-4</w:t>
      </w:r>
      <w:r>
        <w:rPr>
          <w:rStyle w:val="Hyperlink"/>
          <w:i w:val="false"/>
          <w:iCs w:val="false"/>
        </w:rPr>
        <w:fldChar w:fldCharType="end"/>
      </w:r>
      <w:r>
        <w:rPr>
          <w:i w:val="false"/>
          <w:iCs w:val="false"/>
        </w:rPr>
        <w:t>, citations omitted.</w:t>
      </w:r>
    </w:p>
  </w:footnote>
  <w:footnote w:id="22">
    <w:p>
      <w:pPr>
        <w:pStyle w:val="FootnoteText"/>
        <w:rPr/>
      </w:pPr>
      <w:r>
        <w:rPr>
          <w:rStyle w:val="FootnoteCharacters"/>
        </w:rPr>
        <w:footnoteRef/>
      </w:r>
      <w:r>
        <w:rPr>
          <w:i/>
          <w:iCs/>
        </w:rPr>
        <w:tab/>
        <w:t>Rana v Malik</w:t>
      </w:r>
      <w:r>
        <w:rPr>
          <w:i w:val="false"/>
          <w:iCs w:val="false"/>
        </w:rPr>
        <w:t xml:space="preserve">, </w:t>
      </w:r>
      <w:r>
        <w:fldChar w:fldCharType="begin"/>
      </w:r>
      <w:r>
        <w:rPr>
          <w:rStyle w:val="Hyperlink"/>
          <w:i w:val="false"/>
          <w:iCs w:val="false"/>
        </w:rPr>
        <w:instrText xml:space="preserve"> HYPERLINK "https://canlii.ca/t/g2wt5" \l "par77"</w:instrText>
      </w:r>
      <w:r>
        <w:rPr>
          <w:rStyle w:val="Hyperlink"/>
          <w:i w:val="false"/>
          <w:iCs w:val="false"/>
        </w:rPr>
        <w:fldChar w:fldCharType="separate"/>
      </w:r>
      <w:r>
        <w:rPr>
          <w:rStyle w:val="Hyperlink"/>
          <w:i w:val="false"/>
          <w:iCs w:val="false"/>
        </w:rPr>
        <w:t>para. 77</w:t>
      </w:r>
      <w:r>
        <w:rPr>
          <w:rStyle w:val="Hyperlink"/>
          <w:i w:val="false"/>
          <w:iCs w:val="false"/>
        </w:rPr>
        <w:fldChar w:fldCharType="end"/>
      </w:r>
      <w:r>
        <w:rPr>
          <w:i w:val="false"/>
          <w:iCs w:val="false"/>
        </w:rPr>
        <w:t>.</w:t>
      </w:r>
    </w:p>
  </w:footnote>
  <w:footnote w:id="23">
    <w:p>
      <w:pPr>
        <w:pStyle w:val="FootnoteText"/>
        <w:rPr/>
      </w:pPr>
      <w:r>
        <w:rPr>
          <w:rStyle w:val="FootnoteCharacters"/>
        </w:rPr>
        <w:footnoteRef/>
      </w:r>
      <w:r>
        <w:rPr>
          <w:i/>
          <w:iCs/>
        </w:rPr>
        <w:tab/>
        <w:t>Woods v Jahangiri</w:t>
      </w:r>
      <w:r>
        <w:rPr/>
        <w:t xml:space="preserve">, 2020 ONSC 7404, </w:t>
      </w:r>
      <w:r>
        <w:fldChar w:fldCharType="begin"/>
      </w:r>
      <w:r>
        <w:rPr>
          <w:rStyle w:val="Hyperlink"/>
        </w:rPr>
        <w:instrText xml:space="preserve"> HYPERLINK "https://canlii.ca/t/jbwhb" \l "par29"</w:instrText>
      </w:r>
      <w:r>
        <w:rPr>
          <w:rStyle w:val="Hyperlink"/>
        </w:rPr>
        <w:fldChar w:fldCharType="separate"/>
      </w:r>
      <w:r>
        <w:rPr>
          <w:rStyle w:val="Hyperlink"/>
        </w:rPr>
        <w:t>para. 29</w:t>
      </w:r>
      <w:r>
        <w:rPr>
          <w:rStyle w:val="Hyperlink"/>
        </w:rPr>
        <w:fldChar w:fldCharType="end"/>
      </w:r>
      <w:r>
        <w:rPr/>
        <w:t>.</w:t>
      </w:r>
    </w:p>
  </w:footnote>
  <w:footnote w:id="24">
    <w:p>
      <w:pPr>
        <w:pStyle w:val="FootnoteText"/>
        <w:rPr/>
      </w:pPr>
      <w:r>
        <w:rPr>
          <w:rStyle w:val="FootnoteCharacters"/>
        </w:rPr>
        <w:footnoteRef/>
      </w:r>
      <w:r>
        <w:rPr>
          <w:i/>
          <w:iCs/>
        </w:rPr>
        <w:tab/>
        <w:t>Wallace v Pristine Developments</w:t>
      </w:r>
      <w:r>
        <w:rPr/>
        <w:t xml:space="preserve">, 2021 ONSC 2794, </w:t>
      </w:r>
      <w:r>
        <w:fldChar w:fldCharType="begin"/>
      </w:r>
      <w:r>
        <w:rPr>
          <w:rStyle w:val="Hyperlink"/>
        </w:rPr>
        <w:instrText xml:space="preserve"> HYPERLINK "https://canlii.ca/t/jfc67" \l "par32"</w:instrText>
      </w:r>
      <w:r>
        <w:rPr>
          <w:rStyle w:val="Hyperlink"/>
        </w:rPr>
        <w:fldChar w:fldCharType="separate"/>
      </w:r>
      <w:r>
        <w:rPr>
          <w:rStyle w:val="Hyperlink"/>
        </w:rPr>
        <w:t>para. 32</w:t>
      </w:r>
      <w:r>
        <w:rPr>
          <w:rStyle w:val="Hyperlink"/>
        </w:rPr>
        <w:fldChar w:fldCharType="end"/>
      </w:r>
      <w:r>
        <w:rPr/>
        <w:t xml:space="preserve">; </w:t>
      </w:r>
    </w:p>
  </w:footnote>
  <w:footnote w:id="25">
    <w:p>
      <w:pPr>
        <w:pStyle w:val="FootnoteText"/>
        <w:rPr/>
      </w:pPr>
      <w:r>
        <w:rPr>
          <w:rStyle w:val="FootnoteCharacters"/>
        </w:rPr>
        <w:footnoteRef/>
      </w:r>
      <w:r>
        <w:rPr>
          <w:i/>
          <w:iCs/>
        </w:rPr>
        <w:tab/>
        <w:t>Wallace</w:t>
      </w:r>
      <w:r>
        <w:rPr>
          <w:i w:val="false"/>
          <w:iCs w:val="false"/>
        </w:rPr>
        <w:t xml:space="preserve">, </w:t>
      </w:r>
      <w:r>
        <w:fldChar w:fldCharType="begin"/>
      </w:r>
      <w:r>
        <w:rPr>
          <w:rStyle w:val="Hyperlink"/>
          <w:i w:val="false"/>
          <w:iCs w:val="false"/>
        </w:rPr>
        <w:instrText xml:space="preserve"> HYPERLINK "https://canlii.ca/t/jfc67" \l "par35"</w:instrText>
      </w:r>
      <w:r>
        <w:rPr>
          <w:rStyle w:val="Hyperlink"/>
          <w:i w:val="false"/>
          <w:iCs w:val="false"/>
        </w:rPr>
        <w:fldChar w:fldCharType="separate"/>
      </w:r>
      <w:r>
        <w:rPr>
          <w:rStyle w:val="Hyperlink"/>
          <w:i w:val="false"/>
          <w:iCs w:val="false"/>
        </w:rPr>
        <w:t>paras. 35-6</w:t>
      </w:r>
      <w:r>
        <w:rPr>
          <w:rStyle w:val="Hyperlink"/>
          <w:i w:val="false"/>
          <w:iCs w:val="false"/>
        </w:rPr>
        <w:fldChar w:fldCharType="end"/>
      </w:r>
      <w:r>
        <w:rPr>
          <w:i w:val="false"/>
          <w:iCs w:val="false"/>
        </w:rPr>
        <w:t>.</w:t>
      </w:r>
    </w:p>
  </w:footnote>
  <w:footnote w:id="26">
    <w:p>
      <w:pPr>
        <w:pStyle w:val="FootnoteText"/>
        <w:rPr/>
      </w:pPr>
      <w:r>
        <w:rPr>
          <w:rStyle w:val="FootnoteCharacters"/>
        </w:rPr>
        <w:footnoteRef/>
      </w:r>
      <w:r>
        <w:rPr/>
        <w:tab/>
        <w:t xml:space="preserve"> </w:t>
      </w:r>
      <w:r>
        <w:rPr>
          <w:i/>
          <w:iCs/>
        </w:rPr>
        <w:t>RJR-MacDonald Inc. v Canada (Attorney General)</w:t>
      </w:r>
      <w:r>
        <w:rPr/>
        <w:t xml:space="preserve">, </w:t>
      </w:r>
      <w:hyperlink r:id="rId8">
        <w:r>
          <w:rPr>
            <w:rStyle w:val="Hyperlink"/>
          </w:rPr>
          <w:t>1994 CanLII 117</w:t>
        </w:r>
      </w:hyperlink>
      <w:r>
        <w:rPr/>
        <w:t xml:space="preserve"> (SCC), p. 342.</w:t>
      </w:r>
    </w:p>
  </w:footnote>
  <w:footnote w:id="27">
    <w:p>
      <w:pPr>
        <w:pStyle w:val="FootnoteText"/>
        <w:rPr/>
      </w:pPr>
      <w:r>
        <w:rPr>
          <w:rStyle w:val="FootnoteCharacters"/>
        </w:rPr>
        <w:footnoteRef/>
      </w:r>
      <w:r>
        <w:rPr>
          <w:i/>
          <w:iCs/>
        </w:rPr>
        <w:tab/>
        <w:t>Ibidem</w:t>
      </w:r>
      <w:r>
        <w:rPr>
          <w:i w:val="false"/>
          <w:iCs w:val="false"/>
        </w:rPr>
        <w:t>, pp. 342-3.</w:t>
      </w:r>
    </w:p>
  </w:footnote>
  <w:footnote w:id="28">
    <w:p>
      <w:pPr>
        <w:pStyle w:val="FootnoteText"/>
        <w:rPr/>
      </w:pPr>
      <w:r>
        <w:rPr>
          <w:rStyle w:val="FootnoteCharacters"/>
        </w:rPr>
        <w:footnoteRef/>
      </w:r>
      <w:r>
        <w:rPr>
          <w:i/>
          <w:iCs/>
        </w:rPr>
        <w:tab/>
        <w:t>Woods v Jahangiri</w:t>
      </w:r>
      <w:r>
        <w:rPr/>
        <w:t>, 2020 ONSC 7404, paras. 30-4.</w:t>
      </w:r>
    </w:p>
  </w:footnote>
  <w:footnote w:id="29">
    <w:p>
      <w:pPr>
        <w:pStyle w:val="FootnoteText"/>
        <w:rPr/>
      </w:pPr>
      <w:r>
        <w:rPr>
          <w:rStyle w:val="FootnoteCharacters"/>
        </w:rPr>
        <w:footnoteRef/>
      </w:r>
      <w:r>
        <w:rPr>
          <w:i/>
          <w:iCs/>
        </w:rPr>
        <w:tab/>
        <w:t>Original Traders Energy Ltd., (Re)</w:t>
      </w:r>
      <w:r>
        <w:rPr/>
        <w:t xml:space="preserve">, 2024 ONSC 325, </w:t>
      </w:r>
      <w:r>
        <w:fldChar w:fldCharType="begin"/>
      </w:r>
      <w:r>
        <w:rPr>
          <w:rStyle w:val="Hyperlink"/>
        </w:rPr>
        <w:instrText xml:space="preserve"> HYPERLINK "https://canlii.ca/t/k2ckl" \l "par105"</w:instrText>
      </w:r>
      <w:r>
        <w:rPr>
          <w:rStyle w:val="Hyperlink"/>
        </w:rPr>
        <w:fldChar w:fldCharType="separate"/>
      </w:r>
      <w:r>
        <w:rPr>
          <w:rStyle w:val="Hyperlink"/>
        </w:rPr>
        <w:t>paras. 105-6</w:t>
      </w:r>
      <w:r>
        <w:rPr>
          <w:rStyle w:val="Hyperlink"/>
        </w:rPr>
        <w:fldChar w:fldCharType="end"/>
      </w:r>
      <w:r>
        <w:rPr/>
        <w:t>.</w:t>
      </w:r>
    </w:p>
  </w:footnote>
  <w:footnote w:id="30">
    <w:p>
      <w:pPr>
        <w:pStyle w:val="FootnoteText"/>
        <w:rPr/>
      </w:pPr>
      <w:r>
        <w:rPr>
          <w:rStyle w:val="FootnoteCharacters"/>
        </w:rPr>
        <w:footnoteRef/>
      </w:r>
      <w:r>
        <w:rPr>
          <w:i/>
          <w:iCs/>
        </w:rPr>
        <w:tab/>
        <w:t>Bruno Appliance and Furniture Inc v Hryniak</w:t>
      </w:r>
      <w:r>
        <w:rPr/>
        <w:t xml:space="preserve">, 2014 SCC 8, </w:t>
      </w:r>
      <w:r>
        <w:fldChar w:fldCharType="begin"/>
      </w:r>
      <w:r>
        <w:rPr>
          <w:rStyle w:val="Hyperlink"/>
        </w:rPr>
        <w:instrText xml:space="preserve"> HYPERLINK "https://www.canlii.org/en/ca/scc/doc/2014/2014scc8/2014scc8.html" \l "par17"</w:instrText>
      </w:r>
      <w:r>
        <w:rPr>
          <w:rStyle w:val="Hyperlink"/>
        </w:rPr>
        <w:fldChar w:fldCharType="separate"/>
      </w:r>
      <w:r>
        <w:rPr>
          <w:rStyle w:val="Hyperlink"/>
        </w:rPr>
        <w:t>paras 17–21</w:t>
      </w:r>
      <w:r>
        <w:rPr>
          <w:rStyle w:val="Hyperlink"/>
        </w:rPr>
        <w:fldChar w:fldCharType="end"/>
      </w:r>
      <w:r>
        <w:rPr/>
        <w:t>.</w:t>
      </w:r>
    </w:p>
  </w:footnote>
  <w:footnote w:id="31">
    <w:p>
      <w:pPr>
        <w:pStyle w:val="FootnoteText"/>
        <w:rPr/>
      </w:pPr>
      <w:r>
        <w:rPr>
          <w:rStyle w:val="FootnoteCharacters"/>
        </w:rPr>
        <w:footnoteRef/>
      </w:r>
      <w:r>
        <w:rPr>
          <w:i/>
          <w:iCs/>
        </w:rPr>
        <w:tab/>
        <w:t>Wayne Safety Inc. v. Gendelman</w:t>
      </w:r>
      <w:r>
        <w:rPr/>
        <w:t xml:space="preserve">, 2023 ONSC 2478, </w:t>
      </w:r>
      <w:r>
        <w:fldChar w:fldCharType="begin"/>
      </w:r>
      <w:r>
        <w:rPr>
          <w:rStyle w:val="Hyperlink"/>
        </w:rPr>
        <w:instrText xml:space="preserve"> HYPERLINK "https://canlii.ca/t/jwtqk" \l "par42"</w:instrText>
      </w:r>
      <w:r>
        <w:rPr>
          <w:rStyle w:val="Hyperlink"/>
        </w:rPr>
        <w:fldChar w:fldCharType="separate"/>
      </w:r>
      <w:r>
        <w:rPr>
          <w:rStyle w:val="Hyperlink"/>
        </w:rPr>
        <w:t>para. 42</w:t>
      </w:r>
      <w:r>
        <w:rPr>
          <w:rStyle w:val="Hyperlink"/>
        </w:rPr>
        <w:fldChar w:fldCharType="end"/>
      </w:r>
      <w:r>
        <w:rPr/>
        <w:t>.</w:t>
      </w:r>
    </w:p>
  </w:footnote>
  <w:footnote w:id="32">
    <w:p>
      <w:pPr>
        <w:pStyle w:val="FootnoteText"/>
        <w:rPr/>
      </w:pPr>
      <w:r>
        <w:rPr>
          <w:rStyle w:val="FootnoteCharacters"/>
        </w:rPr>
        <w:footnoteRef/>
      </w:r>
      <w:r>
        <w:rPr>
          <w:i/>
          <w:iCs/>
        </w:rPr>
        <w:tab/>
        <w:t>GEA Group AG v Flex-N-Gate Corporation</w:t>
      </w:r>
      <w:r>
        <w:rPr/>
        <w:t xml:space="preserve">, 2009 ONCA 619, </w:t>
      </w:r>
      <w:r>
        <w:fldChar w:fldCharType="begin"/>
      </w:r>
      <w:r>
        <w:rPr>
          <w:rStyle w:val="Hyperlink"/>
        </w:rPr>
        <w:instrText xml:space="preserve"> HYPERLINK "https://canlii.ca/t/25883" \l "par41"</w:instrText>
      </w:r>
      <w:r>
        <w:rPr>
          <w:rStyle w:val="Hyperlink"/>
        </w:rPr>
        <w:fldChar w:fldCharType="separate"/>
      </w:r>
      <w:r>
        <w:rPr>
          <w:rStyle w:val="Hyperlink"/>
        </w:rPr>
        <w:t>para. 41</w:t>
      </w:r>
      <w:r>
        <w:rPr>
          <w:rStyle w:val="Hyperlink"/>
        </w:rPr>
        <w:fldChar w:fldCharType="end"/>
      </w:r>
      <w:r>
        <w:rPr/>
        <w:t>.</w:t>
      </w:r>
    </w:p>
  </w:footnote>
  <w:footnote w:id="33">
    <w:p>
      <w:pPr>
        <w:pStyle w:val="FootnoteText"/>
        <w:rPr/>
      </w:pPr>
      <w:r>
        <w:rPr>
          <w:rStyle w:val="FootnoteCharacters"/>
        </w:rPr>
        <w:footnoteRef/>
      </w:r>
      <w:r>
        <w:rPr>
          <w:i/>
          <w:iCs/>
        </w:rPr>
        <w:tab/>
        <w:t>Meade v Toronto Dominion Bank</w:t>
      </w:r>
      <w:r>
        <w:rPr/>
        <w:t xml:space="preserve">, 2023 ONSC 3585, </w:t>
      </w:r>
      <w:r>
        <w:fldChar w:fldCharType="begin"/>
      </w:r>
      <w:r>
        <w:rPr>
          <w:rStyle w:val="Hyperlink"/>
        </w:rPr>
        <w:instrText xml:space="preserve"> HYPERLINK "https://canlii.ca/t/jxnvv" \l "par6"</w:instrText>
      </w:r>
      <w:r>
        <w:rPr>
          <w:rStyle w:val="Hyperlink"/>
        </w:rPr>
        <w:fldChar w:fldCharType="separate"/>
      </w:r>
      <w:r>
        <w:rPr>
          <w:rStyle w:val="Hyperlink"/>
        </w:rPr>
        <w:t>para. 6</w:t>
      </w:r>
      <w:r>
        <w:rPr>
          <w:rStyle w:val="Hyperlink"/>
        </w:rPr>
        <w:fldChar w:fldCharType="end"/>
      </w:r>
      <w:r>
        <w:rPr/>
        <w:t>.</w:t>
      </w:r>
    </w:p>
  </w:footnote>
  <w:footnote w:id="34">
    <w:p>
      <w:pPr>
        <w:pStyle w:val="FootnoteText"/>
        <w:rPr/>
      </w:pPr>
      <w:r>
        <w:rPr>
          <w:rStyle w:val="FootnoteCharacters"/>
        </w:rPr>
        <w:footnoteRef/>
      </w:r>
      <w:r>
        <w:rPr>
          <w:i/>
          <w:iCs/>
        </w:rPr>
        <w:tab/>
        <w:t>Isofoton S.A. v Toronto Dominion Bank</w:t>
      </w:r>
      <w:r>
        <w:rPr/>
        <w:t xml:space="preserve">, 2007 CanLII 14626 (ON SC), </w:t>
      </w:r>
      <w:r>
        <w:fldChar w:fldCharType="begin"/>
      </w:r>
      <w:r>
        <w:rPr>
          <w:rStyle w:val="Hyperlink"/>
        </w:rPr>
        <w:instrText xml:space="preserve"> HYPERLINK "https://canlii.ca/t/1rb18" \l "par34"</w:instrText>
      </w:r>
      <w:r>
        <w:rPr>
          <w:rStyle w:val="Hyperlink"/>
        </w:rPr>
        <w:fldChar w:fldCharType="separate"/>
      </w:r>
      <w:r>
        <w:rPr>
          <w:rStyle w:val="Hyperlink"/>
        </w:rPr>
        <w:t>para. 34</w:t>
      </w:r>
      <w:r>
        <w:rPr>
          <w:rStyle w:val="Hyperlink"/>
        </w:rPr>
        <w:fldChar w:fldCharType="end"/>
      </w:r>
      <w:r>
        <w:rPr/>
        <w:t>.</w:t>
      </w:r>
    </w:p>
  </w:footnote>
  <w:footnote w:id="35">
    <w:p>
      <w:pPr>
        <w:pStyle w:val="FootnoteText"/>
        <w:rPr/>
      </w:pPr>
      <w:r>
        <w:rPr>
          <w:rStyle w:val="FootnoteCharacters"/>
        </w:rPr>
        <w:footnoteRef/>
      </w:r>
      <w:r>
        <w:rPr>
          <w:i/>
          <w:iCs/>
        </w:rPr>
        <w:tab/>
        <w:t xml:space="preserve">Ibidem, </w:t>
      </w:r>
      <w:r>
        <w:rPr>
          <w:i w:val="false"/>
          <w:iCs w:val="false"/>
        </w:rPr>
        <w:t>para. 40.</w:t>
      </w:r>
    </w:p>
  </w:footnote>
  <w:footnote w:id="36">
    <w:p>
      <w:pPr>
        <w:pStyle w:val="FootnoteText"/>
        <w:rPr/>
      </w:pPr>
      <w:r>
        <w:rPr>
          <w:rStyle w:val="FootnoteCharacters"/>
        </w:rPr>
        <w:footnoteRef/>
      </w:r>
      <w:r>
        <w:rPr/>
        <w:tab/>
        <w:t xml:space="preserve">1654776 Ontario v. Stewart and The Globe and Mail, 2012 ONSC 1991, </w:t>
      </w:r>
      <w:r>
        <w:fldChar w:fldCharType="begin"/>
      </w:r>
      <w:r>
        <w:rPr>
          <w:rStyle w:val="Hyperlink"/>
        </w:rPr>
        <w:instrText xml:space="preserve"> HYPERLINK "https://canlii.ca/t/fr1fp" \l "par32"</w:instrText>
      </w:r>
      <w:r>
        <w:rPr>
          <w:rStyle w:val="Hyperlink"/>
        </w:rPr>
        <w:fldChar w:fldCharType="separate"/>
      </w:r>
      <w:r>
        <w:rPr>
          <w:rStyle w:val="Hyperlink"/>
        </w:rPr>
        <w:t>para. 32</w:t>
      </w:r>
      <w:r>
        <w:rPr>
          <w:rStyle w:val="Hyperlink"/>
        </w:rPr>
        <w:fldChar w:fldCharType="end"/>
      </w:r>
      <w:r>
        <w:rPr/>
        <w:t>.</w:t>
      </w:r>
    </w:p>
  </w:footnote>
  <w:footnote w:id="37">
    <w:p>
      <w:pPr>
        <w:pStyle w:val="FootnoteText"/>
        <w:rPr/>
      </w:pPr>
      <w:r>
        <w:rPr>
          <w:rStyle w:val="FootnoteCharacters"/>
        </w:rPr>
        <w:footnoteRef/>
      </w:r>
      <w:r>
        <w:rPr>
          <w:i/>
          <w:iCs/>
        </w:rPr>
        <w:tab/>
        <w:t>Isofoton</w:t>
      </w:r>
      <w:r>
        <w:rPr>
          <w:i w:val="false"/>
          <w:iCs w:val="false"/>
        </w:rPr>
        <w:t xml:space="preserve">, </w:t>
      </w:r>
      <w:r>
        <w:fldChar w:fldCharType="begin"/>
      </w:r>
      <w:r>
        <w:rPr>
          <w:rStyle w:val="Hyperlink"/>
          <w:i w:val="false"/>
          <w:iCs w:val="false"/>
        </w:rPr>
        <w:instrText xml:space="preserve"> HYPERLINK "https://canlii.ca/t/1rb18" \l "par46"</w:instrText>
      </w:r>
      <w:r>
        <w:rPr>
          <w:rStyle w:val="Hyperlink"/>
          <w:i w:val="false"/>
          <w:iCs w:val="false"/>
        </w:rPr>
        <w:fldChar w:fldCharType="separate"/>
      </w:r>
      <w:r>
        <w:rPr>
          <w:rStyle w:val="Hyperlink"/>
          <w:i w:val="false"/>
          <w:iCs w:val="false"/>
        </w:rPr>
        <w:t>paras. 46-7</w:t>
      </w:r>
      <w:r>
        <w:rPr>
          <w:rStyle w:val="Hyperlink"/>
          <w:i w:val="false"/>
          <w:iCs w:val="false"/>
        </w:rPr>
        <w:fldChar w:fldCharType="end"/>
      </w:r>
      <w:r>
        <w:rPr>
          <w:i w:val="false"/>
          <w:iCs w:val="false"/>
        </w:rPr>
        <w:t>.</w:t>
      </w:r>
    </w:p>
  </w:footnote>
  <w:footnote w:id="38">
    <w:p>
      <w:pPr>
        <w:pStyle w:val="FootnoteText"/>
        <w:rPr/>
      </w:pPr>
      <w:r>
        <w:rPr>
          <w:rStyle w:val="FootnoteCharacters"/>
        </w:rPr>
        <w:footnoteRef/>
      </w:r>
      <w:r>
        <w:rPr>
          <w:i/>
          <w:iCs/>
        </w:rPr>
        <w:tab/>
        <w:t>Isofoton</w:t>
      </w:r>
      <w:r>
        <w:rPr>
          <w:i w:val="false"/>
          <w:iCs w:val="false"/>
        </w:rPr>
        <w:t xml:space="preserve">, </w:t>
      </w:r>
      <w:r>
        <w:fldChar w:fldCharType="begin"/>
      </w:r>
      <w:r>
        <w:rPr>
          <w:rStyle w:val="Hyperlink"/>
          <w:i w:val="false"/>
          <w:iCs w:val="false"/>
        </w:rPr>
        <w:instrText xml:space="preserve"> HYPERLINK "https://canlii.ca/t/1rb18" \l "par49"</w:instrText>
      </w:r>
      <w:r>
        <w:rPr>
          <w:rStyle w:val="Hyperlink"/>
          <w:i w:val="false"/>
          <w:iCs w:val="false"/>
        </w:rPr>
        <w:fldChar w:fldCharType="separate"/>
      </w:r>
      <w:r>
        <w:rPr>
          <w:rStyle w:val="Hyperlink"/>
          <w:i w:val="false"/>
          <w:iCs w:val="false"/>
        </w:rPr>
        <w:t>paras. 49-50</w:t>
      </w:r>
      <w:r>
        <w:rPr>
          <w:rStyle w:val="Hyperlink"/>
          <w:i w:val="false"/>
          <w:iCs w:val="false"/>
        </w:rPr>
        <w:fldChar w:fldCharType="end"/>
      </w:r>
      <w:r>
        <w:rPr>
          <w:i w:val="false"/>
          <w:iCs w:val="false"/>
        </w:rPr>
        <w:t>.</w:t>
      </w:r>
    </w:p>
  </w:footnote>
  <w:footnote w:id="39">
    <w:p>
      <w:pPr>
        <w:pStyle w:val="FootnoteText"/>
        <w:rPr/>
      </w:pPr>
      <w:r>
        <w:rPr>
          <w:rStyle w:val="FootnoteCharacters"/>
        </w:rPr>
        <w:footnoteRef/>
      </w:r>
      <w:r>
        <w:rPr>
          <w:i/>
          <w:iCs/>
        </w:rPr>
        <w:tab/>
        <w:t>York University v Bell Canada Enterprises</w:t>
      </w:r>
      <w:r>
        <w:rPr/>
        <w:t xml:space="preserve">, 2009 CanLII 46447 (ON SC), </w:t>
      </w:r>
      <w:r>
        <w:fldChar w:fldCharType="begin"/>
      </w:r>
      <w:r>
        <w:rPr>
          <w:rStyle w:val="Hyperlink"/>
        </w:rPr>
        <w:instrText xml:space="preserve"> HYPERLINK "https://canlii.ca/t/25j8j" \l "par26"</w:instrText>
      </w:r>
      <w:r>
        <w:rPr>
          <w:rStyle w:val="Hyperlink"/>
        </w:rPr>
        <w:fldChar w:fldCharType="separate"/>
      </w:r>
      <w:r>
        <w:rPr>
          <w:rStyle w:val="Hyperlink"/>
        </w:rPr>
        <w:t>para. 26</w:t>
      </w:r>
      <w:r>
        <w:rPr>
          <w:rStyle w:val="Hyperlink"/>
        </w:rPr>
        <w:fldChar w:fldCharType="end"/>
      </w:r>
      <w:r>
        <w:rPr/>
        <w:t>.</w:t>
      </w:r>
    </w:p>
  </w:footnote>
  <w:footnote w:id="40">
    <w:p>
      <w:pPr>
        <w:pStyle w:val="FootnoteText"/>
        <w:rPr/>
      </w:pPr>
      <w:r>
        <w:rPr>
          <w:rStyle w:val="FootnoteCharacters"/>
        </w:rPr>
        <w:footnoteRef/>
      </w:r>
      <w:r>
        <w:rPr>
          <w:i/>
          <w:iCs/>
        </w:rPr>
        <w:tab/>
        <w:t>Isofoton</w:t>
      </w:r>
      <w:r>
        <w:rPr>
          <w:i w:val="false"/>
          <w:iCs w:val="false"/>
        </w:rPr>
        <w:t xml:space="preserve">, </w:t>
      </w:r>
      <w:r>
        <w:fldChar w:fldCharType="begin"/>
      </w:r>
      <w:r>
        <w:rPr>
          <w:rStyle w:val="Hyperlink"/>
          <w:i w:val="false"/>
          <w:iCs w:val="false"/>
        </w:rPr>
        <w:instrText xml:space="preserve"> HYPERLINK "https://canlii.ca/t/1rb18" \l "par52"</w:instrText>
      </w:r>
      <w:r>
        <w:rPr>
          <w:rStyle w:val="Hyperlink"/>
          <w:i w:val="false"/>
          <w:iCs w:val="false"/>
        </w:rPr>
        <w:fldChar w:fldCharType="separate"/>
      </w:r>
      <w:r>
        <w:rPr>
          <w:rStyle w:val="Hyperlink"/>
          <w:i w:val="false"/>
          <w:iCs w:val="false"/>
        </w:rPr>
        <w:t>para. 52</w:t>
      </w:r>
      <w:r>
        <w:rPr>
          <w:rStyle w:val="Hyperlink"/>
          <w:i w:val="false"/>
          <w:iCs w:val="false"/>
        </w:rPr>
        <w:fldChar w:fldCharType="end"/>
      </w:r>
      <w:r>
        <w:rPr>
          <w:i w:val="false"/>
          <w:iCs w:val="false"/>
        </w:rPr>
        <w:t xml:space="preserve">; </w:t>
      </w:r>
      <w:r>
        <w:rPr>
          <w:i/>
          <w:iCs/>
        </w:rPr>
        <w:t>vide.</w:t>
      </w:r>
      <w:r>
        <w:rPr>
          <w:i w:val="false"/>
          <w:iCs w:val="false"/>
        </w:rPr>
        <w:t xml:space="preserve"> </w:t>
      </w:r>
      <w:r>
        <w:rPr>
          <w:i/>
          <w:iCs/>
        </w:rPr>
        <w:t>Carbone et al v Boccia et al</w:t>
      </w:r>
      <w:r>
        <w:rPr>
          <w:i w:val="false"/>
          <w:iCs w:val="false"/>
        </w:rPr>
        <w:t xml:space="preserve">, 2023 ONSC 3625, </w:t>
      </w:r>
      <w:r>
        <w:fldChar w:fldCharType="begin"/>
      </w:r>
      <w:r>
        <w:rPr>
          <w:rStyle w:val="Hyperlink"/>
          <w:i w:val="false"/>
          <w:iCs w:val="false"/>
        </w:rPr>
        <w:instrText xml:space="preserve"> HYPERLINK "https://canlii.ca/t/jxnvh" \l "par29"</w:instrText>
      </w:r>
      <w:r>
        <w:rPr>
          <w:rStyle w:val="Hyperlink"/>
          <w:i w:val="false"/>
          <w:iCs w:val="false"/>
        </w:rPr>
        <w:fldChar w:fldCharType="separate"/>
      </w:r>
      <w:r>
        <w:rPr>
          <w:rStyle w:val="Hyperlink"/>
          <w:i w:val="false"/>
          <w:iCs w:val="false"/>
        </w:rPr>
        <w:t>para. 29</w:t>
      </w:r>
      <w:r>
        <w:rPr>
          <w:rStyle w:val="Hyperlink"/>
          <w:i w:val="false"/>
          <w:iCs w:val="false"/>
        </w:rPr>
        <w:fldChar w:fldCharType="end"/>
      </w:r>
      <w:r>
        <w:rPr>
          <w:i w:val="false"/>
          <w:iCs w:val="false"/>
        </w:rPr>
        <w:t>.</w:t>
      </w:r>
    </w:p>
  </w:footnote>
  <w:footnote w:id="41">
    <w:p>
      <w:pPr>
        <w:pStyle w:val="FootnoteText"/>
        <w:rPr/>
      </w:pPr>
      <w:r>
        <w:rPr>
          <w:rStyle w:val="FootnoteCharacters"/>
        </w:rPr>
        <w:footnoteRef/>
      </w:r>
      <w:r>
        <w:rPr>
          <w:i/>
          <w:iCs/>
        </w:rPr>
        <w:tab/>
        <w:t>Carbone et al v Boccia et al</w:t>
      </w:r>
      <w:r>
        <w:rPr>
          <w:i w:val="false"/>
          <w:iCs w:val="false"/>
        </w:rPr>
        <w:t>,</w:t>
      </w:r>
      <w:r>
        <w:rPr/>
        <w:t xml:space="preserve"> 2023 ONSC 3625, </w:t>
      </w:r>
      <w:r>
        <w:fldChar w:fldCharType="begin"/>
      </w:r>
      <w:r>
        <w:rPr>
          <w:rStyle w:val="Hyperlink"/>
        </w:rPr>
        <w:instrText xml:space="preserve"> HYPERLINK "https://canlii.ca/t/jxnvh" \l "par29"</w:instrText>
      </w:r>
      <w:r>
        <w:rPr>
          <w:rStyle w:val="Hyperlink"/>
        </w:rPr>
        <w:fldChar w:fldCharType="separate"/>
      </w:r>
      <w:r>
        <w:rPr>
          <w:rStyle w:val="Hyperlink"/>
        </w:rPr>
        <w:t>para. 29</w:t>
      </w:r>
      <w:r>
        <w:rPr>
          <w:rStyle w:val="Hyperlink"/>
        </w:rPr>
        <w:fldChar w:fldCharType="end"/>
      </w:r>
      <w:r>
        <w:rPr/>
        <w:t>.</w:t>
      </w:r>
    </w:p>
  </w:footnote>
  <w:footnote w:id="42">
    <w:p>
      <w:pPr>
        <w:pStyle w:val="FootnoteText"/>
        <w:rPr/>
      </w:pPr>
      <w:r>
        <w:rPr>
          <w:rStyle w:val="FootnoteCharacters"/>
        </w:rPr>
        <w:footnoteRef/>
      </w:r>
      <w:r>
        <w:rPr>
          <w:i/>
          <w:iCs/>
        </w:rPr>
        <w:tab/>
        <w:t>Isofoton</w:t>
      </w:r>
      <w:r>
        <w:rPr>
          <w:i w:val="false"/>
          <w:iCs w:val="false"/>
        </w:rPr>
        <w:t xml:space="preserve">, </w:t>
      </w:r>
      <w:r>
        <w:fldChar w:fldCharType="begin"/>
      </w:r>
      <w:r>
        <w:rPr>
          <w:rStyle w:val="Hyperlink"/>
          <w:i w:val="false"/>
          <w:iCs w:val="false"/>
        </w:rPr>
        <w:instrText xml:space="preserve"> HYPERLINK "https://canlii.ca/t/1rb18" \l "par55"</w:instrText>
      </w:r>
      <w:r>
        <w:rPr>
          <w:rStyle w:val="Hyperlink"/>
          <w:i w:val="false"/>
          <w:iCs w:val="false"/>
        </w:rPr>
        <w:fldChar w:fldCharType="separate"/>
      </w:r>
      <w:r>
        <w:rPr>
          <w:rStyle w:val="Hyperlink"/>
          <w:i w:val="false"/>
          <w:iCs w:val="false"/>
        </w:rPr>
        <w:t>para. 55</w:t>
      </w:r>
      <w:r>
        <w:rPr>
          <w:rStyle w:val="Hyperlink"/>
          <w:i w:val="false"/>
          <w:iCs w:val="false"/>
        </w:rPr>
        <w:fldChar w:fldCharType="end"/>
      </w:r>
      <w:r>
        <w:rPr>
          <w:i w:val="false"/>
          <w:iCs w:val="false"/>
        </w:rPr>
        <w:t>.</w:t>
      </w:r>
    </w:p>
  </w:footnote>
  <w:footnote w:id="43">
    <w:p>
      <w:pPr>
        <w:pStyle w:val="FootnoteText"/>
        <w:rPr/>
      </w:pPr>
      <w:r>
        <w:rPr>
          <w:rStyle w:val="FootnoteCharacters"/>
        </w:rPr>
        <w:footnoteRef/>
      </w:r>
      <w:r>
        <w:rPr>
          <w:i/>
          <w:iCs/>
        </w:rPr>
        <w:tab/>
        <w:t>Isofoton</w:t>
      </w:r>
      <w:r>
        <w:rPr>
          <w:i w:val="false"/>
          <w:iCs w:val="false"/>
        </w:rPr>
        <w:t xml:space="preserve">, </w:t>
      </w:r>
      <w:r>
        <w:fldChar w:fldCharType="begin"/>
      </w:r>
      <w:r>
        <w:rPr>
          <w:rStyle w:val="Hyperlink"/>
          <w:i w:val="false"/>
          <w:iCs w:val="false"/>
        </w:rPr>
        <w:instrText xml:space="preserve"> HYPERLINK "https://canlii.ca/t/1rb18" \l "par57"</w:instrText>
      </w:r>
      <w:r>
        <w:rPr>
          <w:rStyle w:val="Hyperlink"/>
          <w:i w:val="false"/>
          <w:iCs w:val="false"/>
        </w:rPr>
        <w:fldChar w:fldCharType="separate"/>
      </w:r>
      <w:r>
        <w:rPr>
          <w:rStyle w:val="Hyperlink"/>
          <w:i w:val="false"/>
          <w:iCs w:val="false"/>
        </w:rPr>
        <w:t>paras. 57-59</w:t>
      </w:r>
      <w:r>
        <w:rPr>
          <w:rStyle w:val="Hyperlink"/>
          <w:i w:val="false"/>
          <w:iCs w:val="false"/>
        </w:rPr>
        <w:fldChar w:fldCharType="end"/>
      </w:r>
      <w:r>
        <w:rPr>
          <w:i w:val="false"/>
          <w:iCs w:val="false"/>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3"/>
        </w:tabs>
        <w:ind w:left="363" w:hanging="363"/>
      </w:pPr>
      <w:rPr/>
    </w:lvl>
    <w:lvl w:ilvl="1">
      <w:start w:val="1"/>
      <w:numFmt w:val="lowerLetter"/>
      <w:lvlText w:val="%2."/>
      <w:lvlJc w:val="left"/>
      <w:pPr>
        <w:tabs>
          <w:tab w:val="num" w:pos="720"/>
        </w:tabs>
        <w:ind w:left="720" w:hanging="357"/>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454"/>
        </w:tabs>
        <w:ind w:left="454" w:hanging="454"/>
      </w:pPr>
      <w:rPr/>
    </w:lvl>
    <w:lvl w:ilvl="1">
      <w:start w:val="1"/>
      <w:numFmt w:val="lowerLetter"/>
      <w:lvlText w:val="%2."/>
      <w:lvlJc w:val="left"/>
      <w:pPr>
        <w:tabs>
          <w:tab w:val="num" w:pos="720"/>
        </w:tabs>
        <w:ind w:left="720" w:hanging="266"/>
      </w:pPr>
      <w:rPr/>
    </w:lvl>
    <w:lvl w:ilvl="2">
      <w:start w:val="1"/>
      <w:numFmt w:val="decimal"/>
      <w:lvlText w:val="%3)"/>
      <w:lvlJc w:val="left"/>
      <w:pPr>
        <w:tabs>
          <w:tab w:val="num" w:pos="1440"/>
        </w:tabs>
        <w:ind w:left="1440" w:hanging="360"/>
      </w:pPr>
      <w:rPr/>
    </w:lvl>
    <w:lvl w:ilvl="3">
      <w:start w:val="1"/>
      <w:numFmt w:val="upperLetter"/>
      <w:lvlText w:val="%4)"/>
      <w:lvlJc w:val="left"/>
      <w:pPr>
        <w:tabs>
          <w:tab w:val="num" w:pos="1800"/>
        </w:tabs>
        <w:ind w:left="1800" w:hanging="360"/>
      </w:pPr>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4">
    <w:lvl w:ilvl="0">
      <w:start w:val="1"/>
      <w:numFmt w:val="decimal"/>
      <w:lvlText w:val="%1."/>
      <w:lvlJc w:val="left"/>
      <w:pPr>
        <w:tabs>
          <w:tab w:val="num" w:pos="363"/>
        </w:tabs>
        <w:ind w:left="363" w:hanging="363"/>
      </w:pPr>
      <w:rPr>
        <w:sz w:val="24"/>
        <w:u w:val="none"/>
        <w:szCs w:val="24"/>
        <w:color w:val="000080"/>
      </w:rPr>
    </w:lvl>
    <w:lvl w:ilvl="1">
      <w:start w:val="1"/>
      <w:numFmt w:val="lowerLetter"/>
      <w:lvlText w:val="%2."/>
      <w:lvlJc w:val="left"/>
      <w:pPr>
        <w:tabs>
          <w:tab w:val="num" w:pos="1080"/>
        </w:tabs>
        <w:ind w:left="1080" w:hanging="360"/>
      </w:pPr>
      <w:rPr>
        <w:sz w:val="24"/>
        <w:i w:val="false"/>
        <w:u w:val="single"/>
        <w:szCs w:val="24"/>
        <w:iCs w:val="false"/>
        <w:color w:val="000080"/>
      </w:rPr>
    </w:lvl>
    <w:lvl w:ilvl="2">
      <w:start w:val="1"/>
      <w:numFmt w:val="decimal"/>
      <w:lvlText w:val="%3."/>
      <w:lvlJc w:val="left"/>
      <w:pPr>
        <w:tabs>
          <w:tab w:val="num" w:pos="1440"/>
        </w:tabs>
        <w:ind w:left="1440" w:hanging="360"/>
      </w:pPr>
      <w:rPr>
        <w:sz w:val="24"/>
        <w:i w:val="false"/>
        <w:u w:val="single"/>
        <w:szCs w:val="24"/>
        <w:iCs w:val="false"/>
        <w:rFonts w:ascii="Times new roman" w:hAnsi="Times new roman"/>
        <w:color w:val="000080"/>
      </w:rPr>
    </w:lvl>
    <w:lvl w:ilvl="3">
      <w:start w:val="1"/>
      <w:numFmt w:val="decimal"/>
      <w:lvlText w:val="%4."/>
      <w:lvlJc w:val="left"/>
      <w:pPr>
        <w:tabs>
          <w:tab w:val="num" w:pos="1800"/>
        </w:tabs>
        <w:ind w:left="1800" w:hanging="360"/>
      </w:pPr>
      <w:rPr>
        <w:smallCaps w:val="false"/>
        <w:caps w:val="false"/>
        <w:sz w:val="24"/>
        <w:i w:val="false"/>
        <w:u w:val="single"/>
        <w:szCs w:val="24"/>
        <w:color w:val="000080"/>
      </w:rPr>
    </w:lvl>
    <w:lvl w:ilvl="4">
      <w:start w:val="1"/>
      <w:numFmt w:val="decimal"/>
      <w:lvlText w:val="%5."/>
      <w:lvlJc w:val="left"/>
      <w:pPr>
        <w:tabs>
          <w:tab w:val="num" w:pos="2160"/>
        </w:tabs>
        <w:ind w:left="2160" w:hanging="360"/>
      </w:pPr>
      <w:rPr>
        <w:smallCaps w:val="false"/>
        <w:caps w:val="false"/>
        <w:sz w:val="24"/>
        <w:i w:val="false"/>
        <w:u w:val="single"/>
        <w:szCs w:val="24"/>
        <w:rFonts w:ascii="Times new roman" w:hAnsi="Times new roman"/>
        <w:color w:val="000080"/>
      </w:rPr>
    </w:lvl>
    <w:lvl w:ilvl="5">
      <w:start w:val="1"/>
      <w:numFmt w:val="decimal"/>
      <w:lvlText w:val="%6."/>
      <w:lvlJc w:val="left"/>
      <w:pPr>
        <w:tabs>
          <w:tab w:val="num" w:pos="2520"/>
        </w:tabs>
        <w:ind w:left="2520" w:hanging="360"/>
      </w:pPr>
      <w:rPr>
        <w:sz w:val="24"/>
        <w:u w:val="single"/>
        <w:szCs w:val="24"/>
        <w:rFonts w:ascii="Times new roman" w:hAnsi="Times new roman"/>
        <w:color w:val="000080"/>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2"/>
    <w:lvlOverride w:ilvl="0">
      <w:lvl w:ilvl="0">
        <w:start w:val="1"/>
        <w:numFmt w:val="decimal"/>
        <w:lvlText w:val="%1."/>
        <w:lvlJc w:val="left"/>
        <w:pPr>
          <w:tabs>
            <w:tab w:val="num" w:pos="363"/>
          </w:tabs>
          <w:ind w:left="363" w:hanging="363"/>
        </w:pPr>
        <w:rPr>
          <w:sz w:val="24"/>
          <w:u w:val="none"/>
          <w:szCs w:val="24"/>
          <w:color w:val="000080"/>
        </w:rPr>
      </w:lvl>
      <w:startOverride w:val="1"/>
    </w:lvlOverride>
    <w:lvlOverride w:ilvl="0">
      <w:startOverride w:val="1"/>
    </w:lvlOverride>
    <w:lvlOverride w:ilvl="1">
      <w:lvl w:ilvl="1">
        <w:start w:val="1"/>
        <w:numFmt w:val="lowerLetter"/>
        <w:lvlText w:val="%2."/>
        <w:lvlJc w:val="left"/>
        <w:pPr>
          <w:tabs>
            <w:tab w:val="num" w:pos="1080"/>
          </w:tabs>
          <w:ind w:left="1080" w:hanging="360"/>
        </w:pPr>
        <w:rPr>
          <w:sz w:val="24"/>
          <w:i w:val="false"/>
          <w:u w:val="single"/>
          <w:szCs w:val="24"/>
          <w:iCs w:val="false"/>
          <w:color w:val="000080"/>
        </w:rPr>
      </w:lvl>
    </w:lvlOverride>
    <w:lvlOverride w:ilvl="1">
      <w:startOverride w:val="1"/>
    </w:lvlOverride>
    <w:lvlOverride w:ilvl="2">
      <w:lvl w:ilvl="2">
        <w:start w:val="1"/>
        <w:numFmt w:val="decimal"/>
        <w:lvlText w:val="%3."/>
        <w:lvlJc w:val="left"/>
        <w:pPr>
          <w:tabs>
            <w:tab w:val="num" w:pos="1440"/>
          </w:tabs>
          <w:ind w:left="1440" w:hanging="360"/>
        </w:pPr>
        <w:rPr>
          <w:sz w:val="24"/>
          <w:i w:val="false"/>
          <w:u w:val="single"/>
          <w:szCs w:val="24"/>
          <w:iCs w:val="false"/>
          <w:rFonts w:ascii="Times new roman" w:hAnsi="Times new roman"/>
          <w:color w:val="000080"/>
        </w:rPr>
      </w:lvl>
    </w:lvlOverride>
    <w:lvlOverride w:ilvl="2">
      <w:startOverride w:val="1"/>
    </w:lvlOverride>
    <w:lvlOverride w:ilvl="3">
      <w:lvl w:ilvl="3">
        <w:start w:val="1"/>
        <w:numFmt w:val="decimal"/>
        <w:lvlText w:val="%4."/>
        <w:lvlJc w:val="left"/>
        <w:pPr>
          <w:tabs>
            <w:tab w:val="num" w:pos="1800"/>
          </w:tabs>
          <w:ind w:left="1800" w:hanging="360"/>
        </w:pPr>
        <w:rPr>
          <w:smallCaps w:val="false"/>
          <w:caps w:val="false"/>
          <w:sz w:val="24"/>
          <w:i w:val="false"/>
          <w:u w:val="single"/>
          <w:szCs w:val="24"/>
          <w:color w:val="000080"/>
        </w:rPr>
      </w:lvl>
    </w:lvlOverride>
    <w:lvlOverride w:ilvl="3">
      <w:startOverride w:val="1"/>
    </w:lvlOverride>
    <w:lvlOverride w:ilvl="4">
      <w:lvl w:ilvl="4">
        <w:start w:val="1"/>
        <w:numFmt w:val="decimal"/>
        <w:lvlText w:val="%5."/>
        <w:lvlJc w:val="left"/>
        <w:pPr>
          <w:tabs>
            <w:tab w:val="num" w:pos="2160"/>
          </w:tabs>
          <w:ind w:left="2160" w:hanging="360"/>
        </w:pPr>
        <w:rPr>
          <w:smallCaps w:val="false"/>
          <w:caps w:val="false"/>
          <w:sz w:val="24"/>
          <w:i w:val="false"/>
          <w:u w:val="single"/>
          <w:szCs w:val="24"/>
          <w:rFonts w:ascii="Times new roman" w:hAnsi="Times new roman"/>
          <w:color w:val="000080"/>
        </w:rPr>
      </w:lvl>
    </w:lvlOverride>
    <w:lvlOverride w:ilvl="4">
      <w:startOverride w:val="1"/>
    </w:lvlOverride>
    <w:lvlOverride w:ilvl="5">
      <w:lvl w:ilvl="5">
        <w:start w:val="1"/>
        <w:numFmt w:val="decimal"/>
        <w:lvlText w:val="%6."/>
        <w:lvlJc w:val="left"/>
        <w:pPr>
          <w:tabs>
            <w:tab w:val="num" w:pos="2520"/>
          </w:tabs>
          <w:ind w:left="2520" w:hanging="360"/>
        </w:pPr>
        <w:rPr>
          <w:sz w:val="24"/>
          <w:u w:val="single"/>
          <w:szCs w:val="24"/>
          <w:rFonts w:ascii="Times new roman" w:hAnsi="Times new roman"/>
          <w:color w:val="000080"/>
        </w:rPr>
      </w:lvl>
    </w:lvlOverride>
    <w:lvlOverride w:ilvl="5">
      <w:startOverride w:val="1"/>
    </w:lvlOverride>
    <w:lvlOverride w:ilvl="6">
      <w:lvl w:ilvl="6">
        <w:start w:val="1"/>
        <w:numFmt w:val="decimal"/>
        <w:lvlText w:val="%7."/>
        <w:lvlJc w:val="left"/>
        <w:pPr>
          <w:tabs>
            <w:tab w:val="num" w:pos="2880"/>
          </w:tabs>
          <w:ind w:left="2880" w:hanging="360"/>
        </w:pPr>
        <w:rPr/>
      </w:lvl>
    </w:lvlOverride>
    <w:lvlOverride w:ilvl="6">
      <w:startOverride w:val="1"/>
    </w:lvlOverride>
    <w:lvlOverride w:ilvl="7">
      <w:lvl w:ilvl="7">
        <w:start w:val="1"/>
        <w:numFmt w:val="decimal"/>
        <w:lvlText w:val="%8."/>
        <w:lvlJc w:val="left"/>
        <w:pPr>
          <w:tabs>
            <w:tab w:val="num" w:pos="3240"/>
          </w:tabs>
          <w:ind w:left="3240" w:hanging="360"/>
        </w:pPr>
        <w:rPr/>
      </w:lvl>
    </w:lvlOverride>
    <w:lvlOverride w:ilvl="7">
      <w:startOverride w:val="1"/>
    </w:lvlOverride>
    <w:lvlOverride w:ilvl="8">
      <w:lvl w:ilvl="8">
        <w:start w:val="1"/>
        <w:numFmt w:val="decimal"/>
        <w:lvlText w:val="%9."/>
        <w:lvlJc w:val="left"/>
        <w:pPr>
          <w:tabs>
            <w:tab w:val="num" w:pos="3600"/>
          </w:tabs>
          <w:ind w:left="3600" w:hanging="360"/>
        </w:pPr>
        <w:rPr/>
      </w:lvl>
    </w:lvlOverride>
  </w:num>
</w:numbering>
</file>

<file path=word/settings.xml><?xml version="1.0" encoding="utf-8"?>
<w:settings xmlns:w="http://schemas.openxmlformats.org/wordprocessingml/2006/main">
  <w:zoom w:percent="100"/>
  <w:defaultTabStop w:val="720"/>
  <w:autoHyphenation w:val="true"/>
  <w:hyphenationZone w:val="360"/>
  <w:footnotePr>
    <w:numFmt w:val="decimal"/>
    <w:footnote w:id="0"/>
    <w:footnote w:id="1"/>
  </w:footnotePr>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CA" w:bidi="ar-SA"/>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qFormat/>
    <w:pPr>
      <w:numPr>
        <w:ilvl w:val="0"/>
        <w:numId w:val="0"/>
      </w:numPr>
      <w:spacing w:lineRule="auto" w:line="259" w:before="0" w:after="160"/>
      <w:outlineLvl w:val="0"/>
    </w:pPr>
    <w:rPr>
      <w:rFonts w:eastAsia="Calibri"/>
      <w:b/>
      <w:szCs w:val="22"/>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DejaVu Sans" w:cs="Noto Sans Arabic UI"/>
      <w:b/>
      <w:bCs/>
      <w:sz w:val="36"/>
      <w:szCs w:val="36"/>
    </w:rPr>
  </w:style>
  <w:style w:type="character" w:styleId="DefaultParagraphFont">
    <w:name w:val="Default Paragraph Font"/>
    <w:qFormat/>
    <w:rPr/>
  </w:style>
  <w:style w:type="character" w:styleId="ovitalic">
    <w:name w:val="ovitalic"/>
    <w:qFormat/>
    <w:rPr>
      <w:i/>
    </w:rPr>
  </w:style>
  <w:style w:type="character" w:styleId="FootnoteCharacters">
    <w:name w:val="Footnote Characters"/>
    <w:qFormat/>
    <w:rPr>
      <w:vertAlign w:val="superscript"/>
    </w:rPr>
  </w:style>
  <w:style w:type="character" w:styleId="BodyTextChar">
    <w:name w:val="Body Text Char"/>
    <w:basedOn w:val="DefaultParagraphFont"/>
    <w:qFormat/>
    <w:rPr>
      <w:sz w:val="24"/>
      <w:szCs w:val="24"/>
      <w:lang w:eastAsia="en-US"/>
    </w:rPr>
  </w:style>
  <w:style w:type="character" w:styleId="NumberingSymbols">
    <w:name w:val="Numbering Symbols"/>
    <w:qFormat/>
    <w:rPr/>
  </w:style>
  <w:style w:type="character" w:styleId="FootnoteCharacters1">
    <w:name w:val="Footnote Characters1"/>
    <w:qForma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5">
    <w:name w:val="Footnote Characters5"/>
    <w:qFormat/>
    <w:rPr>
      <w:vertAlign w:val="superscript"/>
    </w:rPr>
  </w:style>
  <w:style w:type="character" w:styleId="FootnoteCharacters6">
    <w:name w:val="Footnote Characters6"/>
    <w:qFormat/>
    <w:rPr>
      <w:vertAlign w:val="superscript"/>
    </w:rPr>
  </w:style>
  <w:style w:type="character" w:styleId="FootnoteCharacters7">
    <w:name w:val="Footnote Characters7"/>
    <w:qFormat/>
    <w:rPr>
      <w:vertAlign w:val="superscript"/>
    </w:rPr>
  </w:style>
  <w:style w:type="character" w:styleId="FootnoteReference">
    <w:name w:val="foot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5">
    <w:name w:val="Endnote Characters5"/>
    <w:qFormat/>
    <w:rPr>
      <w:vertAlign w:val="superscript"/>
    </w:rPr>
  </w:style>
  <w:style w:type="character" w:styleId="EndnoteReference">
    <w:name w:val="endnote reference"/>
    <w:rPr>
      <w:vertAlign w:val="superscript"/>
    </w:rPr>
  </w:style>
  <w:style w:type="character" w:styleId="EndnoteCharacters11">
    <w:name w:val="Endnote Characters11"/>
    <w:qFormat/>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link w:val="BodyTextChar"/>
    <w:pPr>
      <w:spacing w:before="0" w:after="12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act-e">
    <w:name w:val="act-e"/>
    <w:qFormat/>
    <w:pPr>
      <w:keepNext w:val="true"/>
      <w:widowControl/>
      <w:tabs>
        <w:tab w:val="clear" w:pos="720"/>
        <w:tab w:val="left" w:pos="0" w:leader="none"/>
      </w:tabs>
      <w:suppressAutoHyphens w:val="true"/>
      <w:overflowPunct w:val="fals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rm-e">
    <w:name w:val="form-e"/>
    <w:qFormat/>
    <w:pPr>
      <w:keepNext w:val="true"/>
      <w:widowControl/>
      <w:tabs>
        <w:tab w:val="clear" w:pos="720"/>
        <w:tab w:val="left" w:pos="0" w:leader="none"/>
      </w:tabs>
      <w:suppressAutoHyphens w:val="true"/>
      <w:overflowPunct w:val="fals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heading3-e">
    <w:name w:val="heading3-e"/>
    <w:qFormat/>
    <w:pPr>
      <w:keepNext w:val="true"/>
      <w:keepLines/>
      <w:widowControl/>
      <w:tabs>
        <w:tab w:val="clear" w:pos="720"/>
        <w:tab w:val="left" w:pos="0" w:leader="none"/>
      </w:tabs>
      <w:suppressAutoHyphens w:val="true"/>
      <w:overflowPunct w:val="false"/>
      <w:bidi w:val="0"/>
      <w:spacing w:lineRule="exact" w:line="209" w:before="150" w:after="0"/>
      <w:jc w:val="center"/>
    </w:pPr>
    <w:rPr>
      <w:rFonts w:ascii="Times New Roman" w:hAnsi="Times New Roman" w:eastAsia="Times New Roman" w:cs="Times New Roman"/>
      <w:color w:val="auto"/>
      <w:kern w:val="0"/>
      <w:sz w:val="20"/>
      <w:szCs w:val="20"/>
      <w:lang w:val="en-GB" w:eastAsia="en-US" w:bidi="ar-SA"/>
    </w:rPr>
  </w:style>
  <w:style w:type="paragraph" w:styleId="headingx-e">
    <w:name w:val="headingx-e"/>
    <w:qFormat/>
    <w:pPr>
      <w:keepNext w:val="true"/>
      <w:keepLines/>
      <w:widowControl/>
      <w:tabs>
        <w:tab w:val="clear" w:pos="720"/>
        <w:tab w:val="left" w:pos="0" w:leader="none"/>
      </w:tabs>
      <w:suppressAutoHyphens w:val="true"/>
      <w:overflowPunct w:val="false"/>
      <w:bidi w:val="0"/>
      <w:spacing w:lineRule="exact" w:line="209" w:before="150" w:after="0"/>
      <w:jc w:val="center"/>
    </w:pPr>
    <w:rPr>
      <w:rFonts w:ascii="Times New Roman" w:hAnsi="Times New Roman" w:eastAsia="Times New Roman" w:cs="Times New Roman"/>
      <w:caps/>
      <w:color w:val="auto"/>
      <w:kern w:val="0"/>
      <w:sz w:val="19"/>
      <w:szCs w:val="20"/>
      <w:lang w:val="en-GB" w:eastAsia="en-US" w:bidi="ar-SA"/>
    </w:rPr>
  </w:style>
  <w:style w:type="paragraph" w:styleId="insert-e">
    <w:name w:val="insert-e"/>
    <w:qFormat/>
    <w:pPr>
      <w:keepNext w:val="true"/>
      <w:widowControl/>
      <w:suppressAutoHyphens w:val="true"/>
      <w:overflowPunct w:val="false"/>
      <w:bidi w:val="0"/>
      <w:spacing w:lineRule="exact" w:line="179" w:before="230" w:after="0"/>
      <w:jc w:val="both"/>
    </w:pPr>
    <w:rPr>
      <w:rFonts w:ascii="Times New Roman" w:hAnsi="Times New Roman" w:eastAsia="Times New Roman" w:cs="Times New Roman"/>
      <w:b/>
      <w:i/>
      <w:color w:val="auto"/>
      <w:kern w:val="0"/>
      <w:sz w:val="20"/>
      <w:szCs w:val="20"/>
      <w:lang w:val="en-GB" w:eastAsia="en-US" w:bidi="ar-SA"/>
    </w:rPr>
  </w:style>
  <w:style w:type="paragraph" w:styleId="scanned-e">
    <w:name w:val="scanned-e"/>
    <w:qFormat/>
    <w:pPr>
      <w:widowControl/>
      <w:suppressAutoHyphens w:val="true"/>
      <w:overflowPunct w:val="false"/>
      <w:bidi w:val="0"/>
      <w:spacing w:before="151" w:after="0"/>
      <w:jc w:val="both"/>
    </w:pPr>
    <w:rPr>
      <w:rFonts w:ascii="Times New Roman" w:hAnsi="Times New Roman" w:eastAsia="Times New Roman" w:cs="Times New Roman"/>
      <w:color w:val="auto"/>
      <w:kern w:val="0"/>
      <w:sz w:val="20"/>
      <w:szCs w:val="20"/>
      <w:lang w:val="en-GB" w:eastAsia="en-US" w:bidi="ar-SA"/>
    </w:rPr>
  </w:style>
  <w:style w:type="paragraph" w:styleId="subject-e">
    <w:name w:val="subject-e"/>
    <w:qFormat/>
    <w:pPr>
      <w:keepNext w:val="true"/>
      <w:widowControl/>
      <w:tabs>
        <w:tab w:val="clear" w:pos="720"/>
        <w:tab w:val="left" w:pos="0" w:leader="none"/>
      </w:tabs>
      <w:suppressAutoHyphens w:val="true"/>
      <w:overflowPunct w:val="fals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zparawtab-e">
    <w:name w:val="zparawtab-e"/>
    <w:qFormat/>
    <w:pPr>
      <w:widowControl/>
      <w:tabs>
        <w:tab w:val="clear" w:pos="720"/>
        <w:tab w:val="right" w:pos="239" w:leader="none"/>
        <w:tab w:val="left" w:pos="279" w:leader="none"/>
      </w:tabs>
      <w:suppressAutoHyphens w:val="true"/>
      <w:overflowPunct w:val="fals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footnote-e">
    <w:name w:val="footnote-e"/>
    <w:qFormat/>
    <w:pPr>
      <w:widowControl/>
      <w:tabs>
        <w:tab w:val="clear" w:pos="720"/>
        <w:tab w:val="left" w:pos="0" w:leader="none"/>
      </w:tabs>
      <w:suppressAutoHyphens w:val="true"/>
      <w:overflowPunct w:val="fals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NormalWeb">
    <w:name w:val="Normal (Web)"/>
    <w:basedOn w:val="Normal"/>
    <w:qFormat/>
    <w:pPr>
      <w:suppressAutoHyphens w:val="true"/>
      <w:spacing w:before="280" w:after="280"/>
    </w:pPr>
    <w:rPr>
      <w:lang w:eastAsia="zh-CN"/>
    </w:rPr>
  </w:style>
  <w:style w:type="paragraph" w:styleId="BLGParatabLevel1">
    <w:name w:val="BLG Paratab Level 1"/>
    <w:basedOn w:val="BodyText"/>
    <w:qFormat/>
    <w:pPr>
      <w:numPr>
        <w:ilvl w:val="0"/>
        <w:numId w:val="2"/>
      </w:numPr>
      <w:suppressAutoHyphens w:val="true"/>
      <w:spacing w:before="0" w:after="240"/>
      <w:ind w:hanging="0" w:left="0"/>
      <w:jc w:val="both"/>
    </w:pPr>
    <w:rPr>
      <w:lang w:eastAsia="zh-CN"/>
    </w:rPr>
  </w:style>
  <w:style w:type="paragraph" w:styleId="BLGParatabLevel2">
    <w:name w:val="BLG Paratab Level 2"/>
    <w:basedOn w:val="BodyText"/>
    <w:qFormat/>
    <w:pPr>
      <w:tabs>
        <w:tab w:val="left" w:pos="720" w:leader="none"/>
      </w:tabs>
      <w:suppressAutoHyphens w:val="true"/>
      <w:spacing w:before="0" w:after="240"/>
      <w:ind w:hanging="360" w:left="720"/>
      <w:jc w:val="both"/>
    </w:pPr>
    <w:rPr>
      <w:lang w:eastAsia="zh-CN"/>
    </w:rPr>
  </w:style>
  <w:style w:type="paragraph" w:styleId="lowercaseheading1">
    <w:name w:val="lowercase heading 1"/>
    <w:basedOn w:val="BodyText"/>
    <w:next w:val="BodyText"/>
    <w:qFormat/>
    <w:pPr>
      <w:keepNext w:val="true"/>
      <w:suppressAutoHyphens w:val="true"/>
      <w:spacing w:before="0" w:after="240"/>
      <w:jc w:val="both"/>
    </w:pPr>
    <w:rPr>
      <w:b/>
      <w:bCs/>
      <w:lang w:eastAsia="zh-CN"/>
    </w:rPr>
  </w:style>
  <w:style w:type="paragraph" w:styleId="ListParagraph">
    <w:name w:val="List Paragraph"/>
    <w:basedOn w:val="Normal"/>
    <w:qFormat/>
    <w:pPr>
      <w:spacing w:before="0" w:after="0"/>
      <w:ind w:left="720"/>
      <w:contextualSpacing/>
    </w:pPr>
    <w:rPr/>
  </w:style>
  <w:style w:type="paragraph" w:styleId="Revision">
    <w:name w:val="Revision"/>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FootnoteText">
    <w:name w:val="footnote text"/>
    <w:basedOn w:val="Normal"/>
    <w:pPr>
      <w:suppressLineNumbers/>
      <w:ind w:hanging="340" w:left="340"/>
    </w:pPr>
    <w:rPr>
      <w:sz w:val="20"/>
      <w:szCs w:val="20"/>
    </w:rPr>
  </w:style>
  <w:style w:type="paragraph" w:styleId="zfl-r-ul-e">
    <w:name w:val="zfl-r-u/l-e"/>
    <w:qFormat/>
    <w:pPr>
      <w:widowControl/>
      <w:tabs>
        <w:tab w:val="clear" w:pos="720"/>
        <w:tab w:val="left" w:pos="0" w:leader="none"/>
      </w:tabs>
      <w:suppressAutoHyphens w:val="true"/>
      <w:overflowPunct w:val="false"/>
      <w:bidi w:val="0"/>
      <w:spacing w:lineRule="exact" w:line="190" w:before="0" w:after="319"/>
      <w:jc w:val="right"/>
    </w:pPr>
    <w:rPr>
      <w:rFonts w:ascii="Times" w:hAnsi="Times" w:eastAsia="Times New Roman" w:cs="Times New Roman"/>
      <w:color w:val="auto"/>
      <w:kern w:val="0"/>
      <w:sz w:val="17"/>
      <w:szCs w:val="20"/>
      <w:lang w:val="en-GB" w:eastAsia="en-US" w:bidi="ar-SA"/>
    </w:rPr>
  </w:style>
  <w:style w:type="paragraph" w:styleId="zheadingx-e">
    <w:name w:val="zheadingx-e"/>
    <w:qFormat/>
    <w:pPr>
      <w:widowControl/>
      <w:tabs>
        <w:tab w:val="clear" w:pos="720"/>
        <w:tab w:val="left" w:pos="0" w:leader="none"/>
      </w:tabs>
      <w:suppressAutoHyphens w:val="true"/>
      <w:overflowPunct w:val="fals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between-e">
    <w:name w:val="zbetween-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overflowPunct w:val="false"/>
      <w:bidi w:val="0"/>
      <w:spacing w:lineRule="exact" w:line="190" w:before="0" w:after="139"/>
      <w:jc w:val="left"/>
    </w:pPr>
    <w:rPr>
      <w:rFonts w:ascii="Times" w:hAnsi="Times" w:eastAsia="Times New Roman" w:cs="Times New Roman"/>
      <w:caps/>
      <w:color w:val="auto"/>
      <w:kern w:val="0"/>
      <w:sz w:val="17"/>
      <w:szCs w:val="20"/>
      <w:lang w:val="en-GB" w:eastAsia="en-US" w:bidi="ar-SA"/>
    </w:rPr>
  </w:style>
  <w:style w:type="paragraph" w:styleId="zc-i-ul-e">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overflowPunct w:val="fals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and-e">
    <w:name w:val="zand-e"/>
    <w:qFormat/>
    <w:pPr>
      <w:widowControl/>
      <w:tabs>
        <w:tab w:val="clear" w:pos="720"/>
        <w:tab w:val="left" w:pos="0" w:leader="none"/>
      </w:tabs>
      <w:suppressAutoHyphens w:val="true"/>
      <w:overflowPunct w:val="false"/>
      <w:bidi w:val="0"/>
      <w:spacing w:lineRule="exact" w:line="190" w:before="0" w:after="319"/>
      <w:jc w:val="center"/>
    </w:pPr>
    <w:rPr>
      <w:rFonts w:ascii="Times" w:hAnsi="Times" w:eastAsia="Times New Roman" w:cs="Times New Roman"/>
      <w:color w:val="auto"/>
      <w:kern w:val="0"/>
      <w:sz w:val="17"/>
      <w:szCs w:val="20"/>
      <w:lang w:val="en-GB" w:eastAsia="en-US" w:bidi="ar-SA"/>
    </w:rPr>
  </w:style>
  <w:style w:type="paragraph" w:styleId="EndnoteText">
    <w:name w:val="endnote text"/>
    <w:basedOn w:val="Normal"/>
    <w:pPr>
      <w:suppressLineNumbers/>
      <w:ind w:hanging="340" w:left="340"/>
    </w:pPr>
    <w:rPr>
      <w:sz w:val="20"/>
      <w:szCs w:val="20"/>
    </w:rPr>
  </w:style>
  <w:style w:type="paragraph" w:styleId="Comment">
    <w:name w:val="Comment"/>
    <w:basedOn w:val="Normal"/>
    <w:qFormat/>
    <w:pPr>
      <w:spacing w:before="56" w:after="0"/>
      <w:ind w:left="56" w:right="56"/>
    </w:pPr>
    <w:rPr>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ntario.ca/laws/regulation/900194" TargetMode="External"/><Relationship Id="rId3" Type="http://schemas.openxmlformats.org/officeDocument/2006/relationships/hyperlink" Target="https://laws-lois.justice.gc.ca/eng/acts/P-24.501/index.html" TargetMode="External"/><Relationship Id="rId4" Type="http://schemas.openxmlformats.org/officeDocument/2006/relationships/hyperlink" Target="https://canlii.ca/t/fr1fp" TargetMode="External"/><Relationship Id="rId5" Type="http://schemas.openxmlformats.org/officeDocument/2006/relationships/hyperlink" Target="https://canlii.ca/t/1fv1d" TargetMode="External"/><Relationship Id="rId6" Type="http://schemas.openxmlformats.org/officeDocument/2006/relationships/hyperlink" Target="https://canlii.ca/t/24vlw" TargetMode="External"/><Relationship Id="rId7" Type="http://schemas.openxmlformats.org/officeDocument/2006/relationships/hyperlink" Target="https://canlii.ca/t/g2s16" TargetMode="External"/><Relationship Id="rId8" Type="http://schemas.openxmlformats.org/officeDocument/2006/relationships/hyperlink" Target="https://canlii.ca/t/k2g97" TargetMode="External"/><Relationship Id="rId9" Type="http://schemas.openxmlformats.org/officeDocument/2006/relationships/hyperlink" Target="https://canlii.ca/t/jxnvh" TargetMode="External"/><Relationship Id="rId10" Type="http://schemas.openxmlformats.org/officeDocument/2006/relationships/hyperlink" Target="https://www.canlii.org/en/ca/scc/doc/2015/2015scc17/2015scc17.html" TargetMode="External"/><Relationship Id="rId11" Type="http://schemas.openxmlformats.org/officeDocument/2006/relationships/hyperlink" Target="https://canlii.ca/t/g1bz4" TargetMode="External"/><Relationship Id="rId12" Type="http://schemas.openxmlformats.org/officeDocument/2006/relationships/hyperlink" Target="https://canlii.ca/t/j63d4" TargetMode="External"/><Relationship Id="rId13" Type="http://schemas.openxmlformats.org/officeDocument/2006/relationships/hyperlink" Target="https://canlii.ca/t/g1ckz" TargetMode="External"/><Relationship Id="rId14" Type="http://schemas.openxmlformats.org/officeDocument/2006/relationships/hyperlink" Target="https://canlii.ca/t/25883" TargetMode="External"/><Relationship Id="rId15" Type="http://schemas.openxmlformats.org/officeDocument/2006/relationships/hyperlink" Target="https://canlii.ca/t/j1s0v" TargetMode="External"/><Relationship Id="rId16" Type="http://schemas.openxmlformats.org/officeDocument/2006/relationships/hyperlink" Target="https://canlii.ca/t/1rb18" TargetMode="External"/><Relationship Id="rId17" Type="http://schemas.openxmlformats.org/officeDocument/2006/relationships/hyperlink" Target="https://canlii.ca/t/g2xdn" TargetMode="External"/><Relationship Id="rId18" Type="http://schemas.openxmlformats.org/officeDocument/2006/relationships/hyperlink" Target="https://canlii.ca/t/gg9km" TargetMode="External"/><Relationship Id="rId19" Type="http://schemas.openxmlformats.org/officeDocument/2006/relationships/hyperlink" Target="https://canlii.ca/t/j817f" TargetMode="External"/><Relationship Id="rId20" Type="http://schemas.openxmlformats.org/officeDocument/2006/relationships/hyperlink" Target="https://canlii.ca/t/jxnvv" TargetMode="External"/><Relationship Id="rId21" Type="http://schemas.openxmlformats.org/officeDocument/2006/relationships/hyperlink" Target="https://canlii.ca/t/g8vwh" TargetMode="External"/><Relationship Id="rId22" Type="http://schemas.openxmlformats.org/officeDocument/2006/relationships/hyperlink" Target="https://canlii.ca/t/k2ckl" TargetMode="External"/><Relationship Id="rId23" Type="http://schemas.openxmlformats.org/officeDocument/2006/relationships/hyperlink" Target="https://canlii.ca/t/g73d0" TargetMode="External"/><Relationship Id="rId24" Type="http://schemas.openxmlformats.org/officeDocument/2006/relationships/hyperlink" Target="https://canlii.ca/t/1twv9" TargetMode="External"/><Relationship Id="rId25" Type="http://schemas.openxmlformats.org/officeDocument/2006/relationships/hyperlink" Target="https://canlii.ca/t/6jkk" TargetMode="External"/><Relationship Id="rId26" Type="http://schemas.openxmlformats.org/officeDocument/2006/relationships/hyperlink" Target="https://canlii.ca/t/g2wt5" TargetMode="External"/><Relationship Id="rId27" Type="http://schemas.openxmlformats.org/officeDocument/2006/relationships/hyperlink" Target="https://canlii.ca/t/1frtw" TargetMode="External"/><Relationship Id="rId28" Type="http://schemas.openxmlformats.org/officeDocument/2006/relationships/hyperlink" Target="https://canlii.ca/t/g078b" TargetMode="External"/><Relationship Id="rId29" Type="http://schemas.openxmlformats.org/officeDocument/2006/relationships/hyperlink" Target="https://canlii.ca/t/1m5s3" TargetMode="External"/><Relationship Id="rId30" Type="http://schemas.openxmlformats.org/officeDocument/2006/relationships/hyperlink" Target="https://canlii.ca/t/flsvl" TargetMode="External"/><Relationship Id="rId31" Type="http://schemas.openxmlformats.org/officeDocument/2006/relationships/hyperlink" Target="https://canlii.ca/t/jfc67" TargetMode="External"/><Relationship Id="rId32" Type="http://schemas.openxmlformats.org/officeDocument/2006/relationships/hyperlink" Target="https://canlii.ca/t/jwtqk" TargetMode="External"/><Relationship Id="rId33" Type="http://schemas.openxmlformats.org/officeDocument/2006/relationships/hyperlink" Target="https://canlii.ca/t/jbwhb" TargetMode="External"/><Relationship Id="rId34" Type="http://schemas.openxmlformats.org/officeDocument/2006/relationships/hyperlink" Target="https://canlii.ca/t/25j8j" TargetMode="External"/><Relationship Id="rId35" Type="http://schemas.openxmlformats.org/officeDocument/2006/relationships/footnotes" Target="footnotes.xml"/><Relationship Id="rId36" Type="http://schemas.openxmlformats.org/officeDocument/2006/relationships/numbering" Target="numbering.xml"/><Relationship Id="rId37" Type="http://schemas.openxmlformats.org/officeDocument/2006/relationships/fontTable" Target="fontTable.xml"/><Relationship Id="rId38" Type="http://schemas.openxmlformats.org/officeDocument/2006/relationships/settings" Target="settings.xml"/><Relationship Id="rId3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https://canlii.ca/t/g1ckz" TargetMode="External"/><Relationship Id="rId2" Type="http://schemas.openxmlformats.org/officeDocument/2006/relationships/hyperlink" Target="https://canlii.ca/t/1twv9" TargetMode="External"/><Relationship Id="rId3" Type="http://schemas.openxmlformats.org/officeDocument/2006/relationships/hyperlink" Target="https://canlii.ca/t/6jkk" TargetMode="External"/><Relationship Id="rId4" Type="http://schemas.openxmlformats.org/officeDocument/2006/relationships/hyperlink" Target="https://www.canlii.org/en/ca/scc/doc/2015/2015scc17/2015scc17.html" TargetMode="External"/><Relationship Id="rId5" Type="http://schemas.openxmlformats.org/officeDocument/2006/relationships/hyperlink" Target="https://www.canlii.org/en/ca/scc/doc/1985/1985canlii55/1985canlii55.html" TargetMode="External"/><Relationship Id="rId6" Type="http://schemas.openxmlformats.org/officeDocument/2006/relationships/hyperlink" Target="https://www.canlii.org/en/ca/scc/doc/1985/1985canlii55/1985canlii55.html" TargetMode="External"/><Relationship Id="rId7" Type="http://schemas.openxmlformats.org/officeDocument/2006/relationships/hyperlink" Target="https://canlii.ca/t/g1bz4" TargetMode="External"/><Relationship Id="rId8" Type="http://schemas.openxmlformats.org/officeDocument/2006/relationships/hyperlink" Target="https://canlii.ca/t/1frtw"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1989</TotalTime>
  <Application>LibreOffice/24.8.3.2$Linux_X86_64 LibreOffice_project/480$Build-2</Application>
  <AppVersion>15.0000</AppVersion>
  <Pages>17</Pages>
  <Words>4157</Words>
  <Characters>20861</Characters>
  <CharactersWithSpaces>24783</CharactersWithSpaces>
  <Paragraphs>225</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2023-03-03T04:17:00Z</dcterms:created>
  <dc:creator>Rottman, M.</dc:creator>
  <dc:description/>
  <dc:language>en-US</dc:language>
  <cp:lastModifiedBy>Adam Strömbergsson-DeNora</cp:lastModifiedBy>
  <cp:lastPrinted>2024-10-26T19:01:46Z</cp:lastPrinted>
  <dcterms:modified xsi:type="dcterms:W3CDTF">2024-12-27T23:14:35Z</dcterms:modified>
  <cp:revision>399</cp:revision>
  <dc:subject>Form 37B : Confirmation of Motion</dc:subject>
  <dc:title>RCP-E 37B</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77e43b5bc11ad8a54075cc392bee89132e5178ee7c32cd448c1c447f0d943386</vt:lpwstr>
  </property>
  <property fmtid="{D5CDD505-2E9C-101B-9397-08002B2CF9AE}" pid="3" name="MSIP_Label_034a106e-6316-442c-ad35-738afd673d2b_ActionId">
    <vt:lpwstr>e3a25c2f-5c43-413f-825c-b14cf4f8bf78</vt:lpwstr>
  </property>
  <property fmtid="{D5CDD505-2E9C-101B-9397-08002B2CF9AE}" pid="4" name="MSIP_Label_034a106e-6316-442c-ad35-738afd673d2b_ContentBits">
    <vt:lpwstr>0</vt:lpwstr>
  </property>
  <property fmtid="{D5CDD505-2E9C-101B-9397-08002B2CF9AE}" pid="5" name="MSIP_Label_034a106e-6316-442c-ad35-738afd673d2b_Enabled">
    <vt:lpwstr>true</vt:lpwstr>
  </property>
  <property fmtid="{D5CDD505-2E9C-101B-9397-08002B2CF9AE}" pid="6" name="MSIP_Label_034a106e-6316-442c-ad35-738afd673d2b_Method">
    <vt:lpwstr>Standard</vt:lpwstr>
  </property>
  <property fmtid="{D5CDD505-2E9C-101B-9397-08002B2CF9AE}" pid="7" name="MSIP_Label_034a106e-6316-442c-ad35-738afd673d2b_Name">
    <vt:lpwstr>034a106e-6316-442c-ad35-738afd673d2b</vt:lpwstr>
  </property>
  <property fmtid="{D5CDD505-2E9C-101B-9397-08002B2CF9AE}" pid="8" name="MSIP_Label_034a106e-6316-442c-ad35-738afd673d2b_SetDate">
    <vt:lpwstr>2021-11-10T20:05:10Z</vt:lpwstr>
  </property>
  <property fmtid="{D5CDD505-2E9C-101B-9397-08002B2CF9AE}" pid="9" name="MSIP_Label_034a106e-6316-442c-ad35-738afd673d2b_SiteId">
    <vt:lpwstr>cddc1229-ac2a-4b97-b78a-0e5cacb5865c</vt:lpwstr>
  </property>
</Properties>
</file>