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CANADA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>FEDERAL COURT</w:t>
      </w:r>
    </w:p>
    <w:p>
      <w:pPr>
        <w:pStyle w:val="Normal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B E T W E E N: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moving party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and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cs="Times New Roman" w:ascii="Times new roman" w:hAnsi="Times new roman"/>
          <w:kern w:val="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responding party</w:t>
      </w:r>
    </w:p>
    <w:p>
      <w:pPr>
        <w:pStyle w:val="Normal"/>
        <w:jc w:val="right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cs="Times New Roman" w:ascii="Times new roman" w:hAnsi="Times new roman"/>
          <w:kern w:val="0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WRITTEN SUBMISSIONS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sz w:val="24"/>
          <w:szCs w:val="24"/>
          <w:lang w:val="en-CA" w:eastAsia="en-US" w:bidi="ar-SA"/>
          <w14:ligatures w14:val="standardContextual"/>
        </w:rPr>
        <w:t>Moving party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sz w:val="24"/>
          <w:szCs w:val="24"/>
          <w:lang w:val="en-CA" w:eastAsia="en-US" w:bidi="ar-SA"/>
          <w14:ligatures w14:val="standardContextual"/>
        </w:rPr>
        <w:t>Overview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Pursuant to rule 8 of the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Federal Court Rules, </w:t>
      </w:r>
      <w:r>
        <w:rPr>
          <w:rFonts w:cs="Times New Roman" w:ascii="Times new roman" w:hAnsi="Times new roman"/>
          <w:sz w:val="24"/>
          <w:szCs w:val="24"/>
        </w:rPr>
        <w:t>t</w:t>
      </w: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>he</w:t>
      </w:r>
      <w:r>
        <w:rPr>
          <w:rFonts w:cs="Times New Roman" w:ascii="Times new roman" w:hAnsi="Times new roman"/>
          <w:sz w:val="24"/>
          <w:szCs w:val="24"/>
        </w:rPr>
        <w:t xml:space="preserve"> moving party seeks an extension of time for filing a notice of application for judicial review</w:t>
      </w:r>
      <w:r>
        <w:rPr>
          <w:rFonts w:cs="Times New Roman" w:ascii="Times new roman" w:hAnsi="Times new roman"/>
          <w:i/>
          <w:iCs/>
          <w:sz w:val="24"/>
          <w:szCs w:val="24"/>
        </w:rPr>
        <w:t>.</w:t>
      </w: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cs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</w:pPr>
      <w:r>
        <w:rPr>
          <w:rFonts w:eastAsia="Aptos" w:cs="Times New Roman" w:eastAsiaTheme="minorHAnsi" w:ascii="Times new roman" w:hAnsi="Times new roman"/>
          <w:color w:val="auto"/>
          <w:sz w:val="24"/>
          <w:szCs w:val="24"/>
          <w:lang w:val="en-CA" w:eastAsia="en-US" w:bidi="ar-SA"/>
          <w14:ligatures w14:val="standardContextual"/>
        </w:rPr>
      </w:r>
    </w:p>
    <w:p>
      <w:pPr>
        <w:pStyle w:val="ListParagraph"/>
        <w:numPr>
          <w:ilvl w:val="0"/>
          <w:numId w:val="0"/>
        </w:numPr>
        <w:spacing w:lineRule="auto" w:line="480"/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Facts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cs="Times New Roman" w:eastAsiaTheme="minorHAnsi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CA" w:eastAsia="en-US" w:bidi="ar-SA"/>
          <w14:ligatures w14:val="standardContextual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480" w:before="0" w:after="160"/>
        <w:ind w:hanging="0" w:left="0" w:right="0"/>
        <w:contextualSpacing/>
        <w:jc w:val="left"/>
        <w:rPr>
          <w:rFonts w:ascii="Times new roman" w:hAnsi="Times new roman" w:eastAsia="Aptos" w:cs="Times New Roman" w:eastAsiaTheme="minorHAnsi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CA" w:eastAsia="en-US" w:bidi="ar-SA"/>
          <w14:ligatures w14:val="standardContextual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kern w:val="2"/>
          <w:sz w:val="24"/>
          <w:szCs w:val="24"/>
          <w:lang w:val="en-CA" w:eastAsia="en-US" w:bidi="ar-SA"/>
          <w14:ligatures w14:val="standardContextual"/>
        </w:rPr>
        <w:t>Issues</w:t>
      </w:r>
      <w:r>
        <w:rPr>
          <w:rFonts w:eastAsia="Aptos" w:cs="Times New Roman" w:ascii="Times new roman" w:hAnsi="Times new roman" w:eastAsiaTheme="minorHAns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CA" w:eastAsia="en-US" w:bidi="ar-SA"/>
          <w14:ligatures w14:val="standardContextual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only issue brought before this Court on this motion is whether time should be extended to allow   to serve and file his notice of application for judicial review.</w:t>
      </w:r>
    </w:p>
    <w:p>
      <w:pPr>
        <w:pStyle w:val="ListParagraph"/>
        <w:spacing w:lineRule="auto" w:line="480"/>
        <w:ind w:hanging="0" w:left="0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Law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Section 18.1 of the </w:t>
      </w:r>
      <w:r>
        <w:rPr>
          <w:rFonts w:cs="Times New Roman" w:ascii="Times new roman" w:hAnsi="Times new roman"/>
          <w:i/>
          <w:iCs/>
          <w:sz w:val="24"/>
          <w:szCs w:val="24"/>
        </w:rPr>
        <w:t>Federal Courts Act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requires an applicant to file an application for judicial review third days after the impugned decision is communicated to the applicant (</w:t>
      </w:r>
      <w:r>
        <w:fldChar w:fldCharType="begin"/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instrText xml:space="preserve"> HYPERLINK "https://laws-lois.justice.gc.ca/eng/acts/f-7/page-3.html" \l "docCont"</w:instrText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i w:val="false"/>
          <w:iCs w:val="false"/>
          <w:sz w:val="24"/>
          <w:szCs w:val="24"/>
        </w:rPr>
        <w:t>RSC 1985, c F-7</w:t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). The same section allows the Court to extend the time for filing an application for judicial review.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Rule 8 of the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Federal Court Rules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further allows the Court to extend or abridge any period of time fixed by the rules or an order of the Court (</w:t>
      </w:r>
      <w:r>
        <w:fldChar w:fldCharType="begin"/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instrText xml:space="preserve"> HYPERLINK "https://laws-lois.justice.gc.ca/eng/regulations/sor-98-106/page-2.html" \l "h-1012756"</w:instrText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i w:val="false"/>
          <w:iCs w:val="false"/>
          <w:sz w:val="24"/>
          <w:szCs w:val="24"/>
        </w:rPr>
        <w:t>SOR/98-106</w:t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). 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An application for judicial review issued outside of the thirty-day limit will be time-barred absent an extension of time (</w:t>
      </w:r>
      <w:r>
        <w:rPr>
          <w:rFonts w:cs="Times New Roman" w:ascii="Times new roman" w:hAnsi="Times new roman"/>
          <w:i/>
          <w:iCs/>
          <w:sz w:val="24"/>
          <w:szCs w:val="24"/>
        </w:rPr>
        <w:t>Meeches v Assiniboine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, 2017 FCA 123, </w:t>
      </w:r>
      <w:r>
        <w:fldChar w:fldCharType="begin"/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instrText xml:space="preserve"> HYPERLINK "https://canlii.ca/t/h45hf" \l "par41"</w:instrText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i w:val="false"/>
          <w:iCs w:val="false"/>
          <w:sz w:val="24"/>
          <w:szCs w:val="24"/>
        </w:rPr>
        <w:t>para 41</w:t>
      </w:r>
      <w:r>
        <w:rPr>
          <w:rStyle w:val="Hyperlink"/>
          <w:sz w:val="24"/>
          <w:i w:val="false"/>
          <w:szCs w:val="24"/>
          <w:iCs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). 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The Federal Court of Appeal set down the criteria for granting extensions of time in </w:t>
      </w: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  <w:shd w:fill="F9FAFB" w:val="clear"/>
        </w:rPr>
        <w:t xml:space="preserve">Canada (Attorney General) v. Hennelly </w:t>
      </w:r>
      <w:r>
        <w:rPr>
          <w:rFonts w:cs="Times New Roman" w:ascii="Times New Roman" w:hAnsi="Times New Roman"/>
          <w:i w:val="false"/>
          <w:iCs w:val="false"/>
          <w:color w:themeColor="text1" w:val="000000"/>
          <w:sz w:val="24"/>
          <w:szCs w:val="24"/>
          <w:shd w:fill="F9FAFB" w:val="clear"/>
        </w:rPr>
        <w:t>(</w:t>
      </w:r>
      <w:hyperlink r:id="rId2">
        <w:r>
          <w:rPr>
            <w:rStyle w:val="Hyperlink"/>
            <w:rFonts w:cs="Times New Roman" w:ascii="Times New Roman" w:hAnsi="Times New Roman"/>
            <w:i w:val="false"/>
            <w:iCs w:val="false"/>
            <w:color w:themeColor="text1" w:val="000000"/>
            <w:sz w:val="24"/>
            <w:szCs w:val="24"/>
            <w:shd w:fill="F9FAFB" w:val="clear"/>
          </w:rPr>
          <w:t>1999 CanLII 8190</w:t>
        </w:r>
      </w:hyperlink>
      <w:r>
        <w:rPr>
          <w:rFonts w:cs="Times New Roman" w:ascii="Times New Roman" w:hAnsi="Times New Roman"/>
          <w:i w:val="false"/>
          <w:iCs w:val="false"/>
          <w:color w:themeColor="text1" w:val="000000"/>
          <w:sz w:val="24"/>
          <w:szCs w:val="24"/>
          <w:shd w:fill="F9FAFB" w:val="clear"/>
        </w:rPr>
        <w:t xml:space="preserve">). The Court of Appeal 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ListParagraph"/>
        <w:numPr>
          <w:ilvl w:val="1"/>
          <w:numId w:val="1"/>
        </w:numPr>
        <w:spacing w:lineRule="auto" w:line="48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a continuing intention to pursue his application; </w:t>
      </w:r>
    </w:p>
    <w:p>
      <w:pPr>
        <w:pStyle w:val="ListParagraph"/>
        <w:numPr>
          <w:ilvl w:val="1"/>
          <w:numId w:val="1"/>
        </w:numPr>
        <w:spacing w:lineRule="auto" w:line="48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that the application has some merit; </w:t>
      </w:r>
    </w:p>
    <w:p>
      <w:pPr>
        <w:pStyle w:val="ListParagraph"/>
        <w:numPr>
          <w:ilvl w:val="1"/>
          <w:numId w:val="1"/>
        </w:numPr>
        <w:spacing w:lineRule="auto" w:line="48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that no prejudice to the respondent arises from the delay; and </w:t>
      </w:r>
    </w:p>
    <w:p>
      <w:pPr>
        <w:pStyle w:val="ListParagraph"/>
        <w:numPr>
          <w:ilvl w:val="1"/>
          <w:numId w:val="1"/>
        </w:numPr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a reasonable explanation for the delay exists.</w:t>
      </w:r>
    </w:p>
    <w:p>
      <w:pPr>
        <w:pStyle w:val="ListParagraph"/>
        <w:numPr>
          <w:ilvl w:val="0"/>
          <w:numId w:val="0"/>
        </w:numPr>
        <w:spacing w:lineRule="auto" w:line="480"/>
        <w:ind w:hanging="0"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fldChar w:fldCharType="begin"/>
      </w:r>
      <w:r>
        <w:rPr>
          <w:rStyle w:val="Hyperlink"/>
          <w:sz w:val="24"/>
          <w:szCs w:val="24"/>
          <w:rFonts w:ascii="Times new roman" w:hAnsi="Times new roman"/>
        </w:rPr>
        <w:instrText xml:space="preserve"> HYPERLINK "https://canlii.ca/t/4lrd" \l "par3"</w:instrText>
      </w:r>
      <w:r>
        <w:rPr>
          <w:rStyle w:val="Hyperlink"/>
          <w:sz w:val="24"/>
          <w:szCs w:val="24"/>
          <w:rFonts w:ascii="Times new roman" w:hAnsi="Times new roman"/>
        </w:rPr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>Para. 3</w:t>
      </w:r>
      <w:r>
        <w:rPr>
          <w:rStyle w:val="Hyperlink"/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>vide. Thompson v. Canada (Attorney General)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, 2018 FCA 212, </w:t>
      </w:r>
      <w:r>
        <w:fldChar w:fldCharType="begin"/>
      </w:r>
      <w:r>
        <w:rPr>
          <w:rStyle w:val="Hyperlink"/>
          <w:sz w:val="24"/>
          <w:i w:val="false"/>
          <w:szCs w:val="24"/>
          <w:iCs w:val="false"/>
          <w:rFonts w:ascii="Times new roman" w:hAnsi="Times new roman"/>
        </w:rPr>
        <w:instrText xml:space="preserve"> HYPERLINK "https://canlii.ca/t/hw6xt" \l "par5"</w:instrText>
      </w:r>
      <w:r>
        <w:rPr>
          <w:rStyle w:val="Hyperlink"/>
          <w:sz w:val="24"/>
          <w:i w:val="false"/>
          <w:szCs w:val="24"/>
          <w:iCs w:val="false"/>
          <w:rFonts w:ascii="Times new roman" w:hAnsi="Times new roman"/>
        </w:rPr>
        <w:fldChar w:fldCharType="separate"/>
      </w:r>
      <w:r>
        <w:rPr>
          <w:rStyle w:val="Hyperlink"/>
          <w:rFonts w:ascii="Times new roman" w:hAnsi="Times new roman"/>
          <w:i w:val="false"/>
          <w:iCs w:val="false"/>
          <w:sz w:val="24"/>
          <w:szCs w:val="24"/>
        </w:rPr>
        <w:t>para. 5</w:t>
      </w:r>
      <w:r>
        <w:rPr>
          <w:rStyle w:val="Hyperlink"/>
          <w:sz w:val="24"/>
          <w:i w:val="false"/>
          <w:szCs w:val="24"/>
          <w:iCs w:val="false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 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eastAsiaTheme="minorHAnsi"/>
          <w:color w:val="auto"/>
          <w:lang w:val="en-CA" w:eastAsia="en-US" w:bidi="ar-SA"/>
          <w14:ligatures w14:val="standardContextual"/>
        </w:rPr>
      </w:pP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>These criteria are not an “immutable checklist” that each need to be ticked off before this Court grants an extension of time. The crux of the issue on a motion to extend time is “whether there is an adequate explanation for the failure to act timely and whether the applicant has an arguable case” (</w:t>
      </w:r>
      <w:r>
        <w:rPr>
          <w:rFonts w:eastAsia="Aptos" w:ascii="Times new roman" w:hAnsi="Times new roman" w:eastAsiaTheme="minorHAnsi"/>
          <w:i/>
          <w:iCs/>
          <w:color w:val="auto"/>
          <w:lang w:val="en-CA" w:eastAsia="en-US" w:bidi="ar-SA"/>
          <w14:ligatures w14:val="standardContextual"/>
        </w:rPr>
        <w:t>Virdi v. Canada (Minister of National Revenue</w:t>
      </w: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 xml:space="preserve">, 2005 FC 529, </w:t>
      </w:r>
      <w:r>
        <w:fldChar w:fldCharType="begin"/>
      </w:r>
      <w:r>
        <w:rPr>
          <w:rStyle w:val="Hyperlink"/>
          <w:rFonts w:eastAsia="Aptos" w:ascii="Times new roman" w:hAnsi="Times new roman"/>
          <w:color w:val="auto"/>
          <w:lang w:val="en-CA" w:eastAsia="en-US" w:bidi="ar-SA"/>
        </w:rPr>
        <w:instrText xml:space="preserve"> HYPERLINK "https://canlii.ca/t/1k7b9" \l "par8"</w:instrText>
      </w:r>
      <w:r>
        <w:rPr>
          <w:rStyle w:val="Hyperlink"/>
          <w:rFonts w:eastAsia="Aptos" w:ascii="Times new roman" w:hAnsi="Times new roman"/>
          <w:color w:val="auto"/>
          <w:lang w:val="en-CA" w:eastAsia="en-US" w:bidi="ar-SA"/>
        </w:rPr>
        <w:fldChar w:fldCharType="separate"/>
      </w:r>
      <w:r>
        <w:rPr>
          <w:rStyle w:val="Hyperlink"/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>para. 8</w:t>
      </w:r>
      <w:r>
        <w:rPr>
          <w:rStyle w:val="Hyperlink"/>
          <w:rFonts w:eastAsia="Aptos" w:ascii="Times new roman" w:hAnsi="Times new roman"/>
          <w:color w:val="auto"/>
          <w:lang w:val="en-CA" w:eastAsia="en-US" w:bidi="ar-SA"/>
        </w:rPr>
        <w:fldChar w:fldCharType="end"/>
      </w: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 xml:space="preserve">, citing </w:t>
      </w:r>
      <w:r>
        <w:rPr>
          <w:rFonts w:eastAsia="Aptos" w:ascii="Times new roman" w:hAnsi="Times new roman" w:eastAsiaTheme="minorHAnsi"/>
          <w:i/>
          <w:iCs/>
          <w:color w:val="auto"/>
          <w:lang w:val="en-CA" w:eastAsia="en-US" w:bidi="ar-SA"/>
          <w14:ligatures w14:val="standardContextual"/>
        </w:rPr>
        <w:t xml:space="preserve">Council of Canadians et al. v. Director of Investigation and Research et al. </w:t>
      </w: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 xml:space="preserve">(1997), 212 N.R. 254. The Federal Court of Appeal has framed the question differently: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480" w:before="0" w:after="160"/>
        <w:ind w:hanging="0" w:left="1134" w:right="0"/>
        <w:contextualSpacing/>
        <w:jc w:val="left"/>
        <w:rPr>
          <w:rFonts w:ascii="Times new roman" w:hAnsi="Times new roman" w:eastAsia="Aptos" w:eastAsiaTheme="minorHAnsi"/>
          <w:color w:val="auto"/>
          <w:lang w:val="en-CA" w:eastAsia="en-US" w:bidi="ar-SA"/>
          <w14:ligatures w14:val="standardContextual"/>
        </w:rPr>
      </w:pP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>the Court is to consider each [criteria] and decide whether on balance the interests of justice would be served in granting the extension of time (</w:t>
      </w:r>
      <w:r>
        <w:rPr>
          <w:rFonts w:eastAsia="Aptos" w:ascii="Times new roman" w:hAnsi="Times new roman" w:eastAsiaTheme="minorHAnsi"/>
          <w:i/>
          <w:iCs/>
          <w:color w:val="auto"/>
          <w:lang w:val="en-CA" w:eastAsia="en-US" w:bidi="ar-SA"/>
          <w14:ligatures w14:val="standardContextual"/>
        </w:rPr>
        <w:t>Thompson v. Canada</w:t>
      </w:r>
      <w:r>
        <w:rPr>
          <w:rFonts w:eastAsia="Aptos" w:ascii="Times new roman" w:hAnsi="Times new roman" w:eastAsiaTheme="minorHAnsi"/>
          <w:i w:val="false"/>
          <w:iCs w:val="false"/>
          <w:color w:val="auto"/>
          <w:lang w:val="en-CA" w:eastAsia="en-US" w:bidi="ar-SA"/>
          <w14:ligatures w14:val="standardContextual"/>
        </w:rPr>
        <w:t xml:space="preserve">, </w:t>
      </w:r>
      <w:r>
        <w:fldChar w:fldCharType="begin"/>
      </w:r>
      <w:r>
        <w:rPr>
          <w:rStyle w:val="Hyperlink"/>
          <w:i w:val="false"/>
          <w:iCs w:val="false"/>
          <w:rFonts w:eastAsia="Aptos" w:ascii="Times new roman" w:hAnsi="Times new roman"/>
          <w:color w:val="auto"/>
          <w:lang w:val="en-CA" w:eastAsia="en-US" w:bidi="ar-SA"/>
        </w:rPr>
        <w:instrText xml:space="preserve"> HYPERLINK "https://canlii.ca/t/hw6xt" \l "par6"</w:instrText>
      </w:r>
      <w:r>
        <w:rPr>
          <w:rStyle w:val="Hyperlink"/>
          <w:i w:val="false"/>
          <w:iCs w:val="false"/>
          <w:rFonts w:eastAsia="Aptos" w:ascii="Times new roman" w:hAnsi="Times new roman"/>
          <w:color w:val="auto"/>
          <w:lang w:val="en-CA" w:eastAsia="en-US" w:bidi="ar-SA"/>
        </w:rPr>
        <w:fldChar w:fldCharType="separate"/>
      </w:r>
      <w:r>
        <w:rPr>
          <w:rStyle w:val="Hyperlink"/>
          <w:rFonts w:eastAsia="Aptos" w:ascii="Times new roman" w:hAnsi="Times new roman" w:eastAsiaTheme="minorHAnsi"/>
          <w:i w:val="false"/>
          <w:iCs w:val="false"/>
          <w:color w:val="auto"/>
          <w:lang w:val="en-CA" w:eastAsia="en-US" w:bidi="ar-SA"/>
          <w14:ligatures w14:val="standardContextual"/>
        </w:rPr>
        <w:t>para. 6</w:t>
      </w:r>
      <w:r>
        <w:rPr>
          <w:rStyle w:val="Hyperlink"/>
          <w:i w:val="false"/>
          <w:iCs w:val="false"/>
          <w:rFonts w:eastAsia="Aptos" w:ascii="Times new roman" w:hAnsi="Times new roman"/>
          <w:color w:val="auto"/>
          <w:lang w:val="en-CA" w:eastAsia="en-US" w:bidi="ar-SA"/>
        </w:rPr>
        <w:fldChar w:fldCharType="end"/>
      </w: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>).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eastAsiaTheme="minorHAnsi"/>
          <w:color w:val="auto"/>
          <w:lang w:val="en-CA" w:eastAsia="en-US" w:bidi="ar-SA"/>
          <w14:ligatures w14:val="standardContextual"/>
        </w:rPr>
      </w:pP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>A reasonable explanation for the entire length of the delay must exist, or the respondent will be prejudiced by the delay (</w:t>
      </w:r>
      <w:r>
        <w:rPr>
          <w:rFonts w:eastAsia="Aptos" w:ascii="Times new roman" w:hAnsi="Times new roman" w:eastAsiaTheme="minorHAnsi"/>
          <w:i/>
          <w:iCs/>
          <w:color w:val="auto"/>
          <w:lang w:val="en-CA" w:eastAsia="en-US" w:bidi="ar-SA"/>
          <w14:ligatures w14:val="standardContextual"/>
        </w:rPr>
        <w:t>Collins v. Canada (Attorney General)</w:t>
      </w: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 xml:space="preserve">, 2010 FC 949, </w:t>
      </w:r>
      <w:r>
        <w:fldChar w:fldCharType="begin"/>
      </w:r>
      <w:r>
        <w:rPr>
          <w:rStyle w:val="Hyperlink"/>
          <w:rFonts w:eastAsia="Aptos" w:ascii="Times new roman" w:hAnsi="Times new roman"/>
          <w:color w:val="auto"/>
          <w:lang w:val="en-CA" w:eastAsia="en-US" w:bidi="ar-SA"/>
        </w:rPr>
        <w:instrText xml:space="preserve"> HYPERLINK "https://canlii.ca/t/2cqg2" \l "par6"</w:instrText>
      </w:r>
      <w:r>
        <w:rPr>
          <w:rStyle w:val="Hyperlink"/>
          <w:rFonts w:eastAsia="Aptos" w:ascii="Times new roman" w:hAnsi="Times new roman"/>
          <w:color w:val="auto"/>
          <w:lang w:val="en-CA" w:eastAsia="en-US" w:bidi="ar-SA"/>
        </w:rPr>
        <w:fldChar w:fldCharType="separate"/>
      </w:r>
      <w:r>
        <w:rPr>
          <w:rStyle w:val="Hyperlink"/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>para. 6</w:t>
      </w:r>
      <w:r>
        <w:rPr>
          <w:rStyle w:val="Hyperlink"/>
          <w:rFonts w:eastAsia="Aptos" w:ascii="Times new roman" w:hAnsi="Times new roman"/>
          <w:color w:val="auto"/>
          <w:lang w:val="en-CA" w:eastAsia="en-US" w:bidi="ar-SA"/>
        </w:rPr>
        <w:fldChar w:fldCharType="end"/>
      </w:r>
      <w:r>
        <w:rPr>
          <w:rFonts w:eastAsia="Aptos" w:ascii="Times new roman" w:hAnsi="Times new roman" w:eastAsiaTheme="minorHAnsi"/>
          <w:color w:val="auto"/>
          <w:lang w:val="en-CA" w:eastAsia="en-US" w:bidi="ar-SA"/>
          <w14:ligatures w14:val="standardContextual"/>
        </w:rPr>
        <w:t>).</w:t>
      </w:r>
    </w:p>
    <w:p>
      <w:pPr>
        <w:pStyle w:val="ListParagraph"/>
        <w:widowControl/>
        <w:suppressAutoHyphens w:val="true"/>
        <w:bidi w:val="0"/>
        <w:spacing w:lineRule="auto" w:line="480" w:before="0" w:after="160"/>
        <w:ind w:hanging="0" w:left="0" w:right="0"/>
        <w:contextualSpacing/>
        <w:jc w:val="left"/>
        <w:rPr>
          <w:rFonts w:ascii="Times new roman" w:hAnsi="Times new roman" w:eastAsia="Aptos" w:eastAsiaTheme="minorHAnsi"/>
          <w:b/>
          <w:bCs/>
          <w:i/>
          <w:i/>
          <w:iCs/>
          <w:color w:val="auto"/>
          <w:lang w:val="en-CA" w:eastAsia="en-US" w:bidi="ar-SA"/>
          <w14:ligatures w14:val="standardContextual"/>
        </w:rPr>
      </w:pPr>
      <w:r>
        <w:rPr>
          <w:rFonts w:eastAsia="Aptos" w:ascii="Times new roman" w:hAnsi="Times new roman" w:eastAsiaTheme="minorHAnsi"/>
          <w:b/>
          <w:bCs/>
          <w:i/>
          <w:iCs/>
          <w:color w:val="auto"/>
          <w:lang w:val="en-CA" w:eastAsia="en-US" w:bidi="ar-SA"/>
          <w14:ligatures w14:val="standardContextual"/>
        </w:rPr>
        <w:t>Discussion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eastAsiaTheme="minorHAnsi"/>
          <w:color w:val="auto"/>
          <w:lang w:val="en-CA" w:eastAsia="en-US" w:bidi="ar-SA"/>
          <w14:ligatures w14:val="standardContextual"/>
        </w:rPr>
      </w:pPr>
      <w:r>
        <w:rPr/>
      </w:r>
    </w:p>
    <w:p>
      <w:pPr>
        <w:pStyle w:val="ListParagraph"/>
        <w:spacing w:lineRule="auto" w:line="480"/>
        <w:ind w:hanging="0" w:left="0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sz w:val="24"/>
          <w:szCs w:val="24"/>
          <w:lang w:val="en-CA" w:eastAsia="en-US" w:bidi="ar-SA"/>
          <w14:ligatures w14:val="standardContextual"/>
        </w:rPr>
        <w:t>Relief Sought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 </w:t>
      </w: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>seeks</w:t>
      </w: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 an extension of time</w:t>
      </w:r>
      <w:r>
        <w:rPr>
          <w:rFonts w:cs="Times New Roman" w:ascii="Times new roman" w:hAnsi="Times new roman"/>
          <w:sz w:val="24"/>
          <w:szCs w:val="24"/>
        </w:rPr>
        <w:t xml:space="preserve"> to file an application for judicial review</w:t>
      </w: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, no later than </w:t>
      </w:r>
      <w:r>
        <w:rPr>
          <w:rFonts w:cs="Times New Roman" w:ascii="Times new roman" w:hAnsi="Times new roman"/>
          <w:sz w:val="24"/>
          <w:szCs w:val="24"/>
        </w:rPr>
        <w:t xml:space="preserve">seven days from the date of the order. </w:t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rFonts w:eastAsia="Aptos" w:cs="Times New Roman" w:ascii="Times new roman" w:hAnsi="Times new roman" w:eastAsiaTheme="minorHAnsi"/>
          <w:b/>
          <w:bCs/>
          <w:color w:val="auto"/>
          <w:sz w:val="24"/>
          <w:szCs w:val="24"/>
          <w:lang w:val="en-CA" w:eastAsia="en-US" w:bidi="ar-SA"/>
          <w14:ligatures w14:val="standardContextual"/>
        </w:rPr>
        <w:t>, 2025</w:t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Adam P. Strömbergsson-DeNora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LSO 83864D</w:t>
      </w:r>
    </w:p>
    <w:p>
      <w:pPr>
        <w:pStyle w:val="BodyText"/>
        <w:spacing w:lineRule="auto" w:line="276" w:before="0" w:after="0"/>
        <w:ind w:hanging="0" w:left="5040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735- 1 Rideau St.</w:t>
      </w:r>
    </w:p>
    <w:p>
      <w:pPr>
        <w:pStyle w:val="BodyText"/>
        <w:spacing w:lineRule="auto" w:line="276" w:before="0" w:after="0"/>
        <w:ind w:hanging="0" w:left="504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Ottawa, ON. K1N 8S7</w:t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e. federalcourt@apstrom.ca</w:t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/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Solicitors for the moving party</w:t>
      </w:r>
    </w:p>
    <w:p>
      <w:pPr>
        <w:pStyle w:val="Normal"/>
        <w:spacing w:lineRule="auto" w:line="240" w:before="0" w:after="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kern w:val="0"/>
          <w14:ligatures w14:val="none"/>
        </w:rPr>
      </w:pPr>
      <w:r>
        <w:rPr>
          <w:rFonts w:eastAsia="Times New Roman" w:cs="Times New Roman" w:ascii="Times new roman" w:hAnsi="Times new roman"/>
          <w:vanish/>
          <w:kern w:val="0"/>
          <w14:ligatures w14:val="none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The Minister of Transport and Internal Trade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c/o Deputy Attorney General of Canada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Civil Litigation Section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Department of Justice Canada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 O’Connor Street, 5th Floor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Ottawa, Ontario K1A 0H8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t. 613-670-6214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f. 613-954-1920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 AGC_PGC_OTTAWA@JUSTICE.GC.CA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Carlito">
    <w:altName w:val="Calibri"/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5075"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C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0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b50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b50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b507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b5075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b5075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b5075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b5075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b5075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b5075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b50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b50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b50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b5075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b50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b5075"/>
    <w:rPr>
      <w:b/>
      <w:bCs/>
      <w:smallCaps/>
      <w:color w:themeColor="accent1" w:themeShade="bf" w:val="0F4761"/>
      <w:spacing w:val="5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0c2c44"/>
    <w:rPr>
      <w:sz w:val="20"/>
      <w:szCs w:val="20"/>
    </w:rPr>
  </w:style>
  <w:style w:type="character" w:styleId="FootnoteCharactersuser">
    <w:name w:val="Footnote Characters (user)"/>
    <w:uiPriority w:val="99"/>
    <w:semiHidden/>
    <w:unhideWhenUsed/>
    <w:qFormat/>
    <w:rsid w:val="000c2c44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c2c44"/>
    <w:rPr>
      <w:color w:val="0000FF"/>
      <w:u w:val="single"/>
    </w:rPr>
  </w:style>
  <w:style w:type="character" w:styleId="LineNumber">
    <w:name w:val="line number"/>
    <w:rPr/>
  </w:style>
  <w:style w:type="character" w:styleId="EndnoteCharacters">
    <w:name w:val="Endnote Characters"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rsid w:val="00db50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b507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44"/>
    <w:pPr>
      <w:spacing w:lineRule="auto" w:line="240" w:before="0" w:after="0"/>
    </w:pPr>
    <w:rPr>
      <w:sz w:val="20"/>
      <w:szCs w:val="20"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nlii.ca/t/4lr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2AE696-649E-354C-91C5-06AA4A66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LibreOffice/25.2.2.2$Linux_X86_64 LibreOffice_project/520$Build-2</Application>
  <AppVersion>15.0000</AppVersion>
  <Pages>3</Pages>
  <Words>511</Words>
  <Characters>2497</Characters>
  <CharactersWithSpaces>2974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2025-08-07T14:56:00Z</dcterms:created>
  <dc:creator>Karina Mateo</dc:creator>
  <dc:description/>
  <dc:language>en-US</dc:language>
  <cp:lastModifiedBy>Adam Strombergsson-DeNora</cp:lastModifiedBy>
  <dcterms:modified xsi:type="dcterms:W3CDTF">2025-10-22T12:50:31Z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