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CV-18-00000399-0000</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plaintiffs</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
    </w:p>
    <w:p>
      <w:pPr>
        <w:pStyle w:val="zfl-r-ul-e"/>
        <w:spacing w:lineRule="auto" w:line="276" w:before="0" w:after="0"/>
        <w:rPr>
          <w:rFonts w:ascii="Times New Roman" w:hAnsi="Times New Roman"/>
          <w:sz w:val="24"/>
          <w:szCs w:val="24"/>
        </w:rPr>
      </w:pPr>
      <w:r>
        <w:rPr>
          <w:rFonts w:ascii="Times New Roman" w:hAnsi="Times New Roman"/>
          <w:sz w:val="24"/>
          <w:szCs w:val="24"/>
        </w:rPr>
        <w:t>defendants</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fl-r-ul-e"/>
        <w:spacing w:lineRule="auto" w:line="276" w:before="0" w:after="0"/>
        <w:jc w:val="center"/>
        <w:rPr>
          <w:rFonts w:ascii="Times New Roman" w:hAnsi="Times New Roman"/>
          <w:sz w:val="24"/>
          <w:szCs w:val="24"/>
        </w:rPr>
      </w:pPr>
      <w:r>
        <w:rPr>
          <w:rFonts w:ascii="Times New Roman" w:hAnsi="Times New Roman"/>
          <w:sz w:val="24"/>
          <w:szCs w:val="24"/>
        </w:rPr>
        <w:t>- and -</w:t>
      </w:r>
    </w:p>
    <w:p>
      <w:pPr>
        <w:pStyle w:val="zfl-r-ul-e"/>
        <w:spacing w:lineRule="auto" w:line="276" w:before="0" w:after="0"/>
        <w:jc w:val="center"/>
        <w:rPr>
          <w:rFonts w:ascii="Times New Roman" w:hAnsi="Times New Roman"/>
          <w:sz w:val="24"/>
          <w:szCs w:val="24"/>
        </w:rPr>
      </w:pPr>
      <w:r>
        <w:rPr>
          <w:rFonts w:ascii="Times New Roman" w:hAnsi="Times New Roman"/>
          <w:sz w:val="24"/>
          <w:szCs w:val="24"/>
        </w:rPr>
      </w:r>
    </w:p>
    <w:p>
      <w:pPr>
        <w:pStyle w:val="zfl-r-ul-e"/>
        <w:spacing w:lineRule="auto" w:line="276" w:before="0" w:after="0"/>
        <w:jc w:val="center"/>
        <w:rPr>
          <w:rFonts w:ascii="Times New Roman" w:hAnsi="Times New Roman"/>
          <w:sz w:val="24"/>
          <w:szCs w:val="24"/>
        </w:rPr>
      </w:pPr>
      <w:r>
        <w:rPr/>
      </w:r>
    </w:p>
    <w:p>
      <w:pPr>
        <w:pStyle w:val="zfl-r-ul-e"/>
        <w:spacing w:lineRule="auto" w:line="276" w:before="0" w:after="0"/>
        <w:jc w:val="right"/>
        <w:rPr>
          <w:rFonts w:ascii="Times New Roman" w:hAnsi="Times New Roman"/>
          <w:sz w:val="24"/>
          <w:szCs w:val="24"/>
        </w:rPr>
      </w:pPr>
      <w:r>
        <w:rPr>
          <w:rFonts w:ascii="Times New Roman" w:hAnsi="Times New Roman"/>
          <w:i w:val="false"/>
          <w:iCs w:val="false"/>
          <w:sz w:val="24"/>
          <w:szCs w:val="24"/>
        </w:rPr>
        <w:t>third parties</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EXPERT WITNESS BRIEF</w:t>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r>
      <w:r>
        <w:rPr>
          <w:rFonts w:ascii="Times New Roman" w:hAnsi="Times New Roman"/>
          <w:b/>
          <w:bCs/>
          <w:caps w:val="false"/>
          <w:smallCaps w:val="false"/>
          <w:sz w:val="24"/>
        </w:rPr>
        <w:t>Adam P. Strombergsson-DeNora</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LSO 83864D</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 xml:space="preserve">e. </w:t>
      </w:r>
      <w:hyperlink r:id="rId2">
        <w:r>
          <w:rPr>
            <w:rStyle w:val="Hyperlink"/>
            <w:rFonts w:ascii="Times New Roman" w:hAnsi="Times New Roman"/>
            <w:caps w:val="false"/>
            <w:smallCaps w:val="false"/>
            <w:sz w:val="24"/>
          </w:rPr>
          <w:t>adam@apstrom.ca</w:t>
        </w:r>
      </w:hyperlink>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t. 613 699 2127</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b/>
          <w:bCs/>
          <w:caps w:val="false"/>
          <w:smallCaps w:val="false"/>
          <w:sz w:val="24"/>
        </w:rPr>
        <w:t>Karifa Magassouba</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LSO 90130M</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 xml:space="preserve">e. </w:t>
      </w:r>
      <w:hyperlink r:id="rId3">
        <w:r>
          <w:rPr>
            <w:rStyle w:val="Hyperlink"/>
            <w:rFonts w:ascii="Times New Roman" w:hAnsi="Times New Roman"/>
            <w:caps w:val="false"/>
            <w:smallCaps w:val="false"/>
            <w:sz w:val="24"/>
          </w:rPr>
          <w:t>karifa@apstrom.ca</w:t>
        </w:r>
      </w:hyperlink>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b/>
          <w:bCs/>
          <w:caps w:val="false"/>
          <w:smallCaps w:val="false"/>
          <w:sz w:val="24"/>
        </w:rPr>
        <w:t>A.P.Strom and Associates</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P.O.Box 74035 Ottawa RPO Beechwood</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Ottawa. K1M 2H9</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i/>
          <w:iCs/>
          <w:caps w:val="false"/>
          <w:smallCaps w:val="false"/>
          <w:sz w:val="24"/>
        </w:rPr>
        <w:t xml:space="preserve">Counsel for the </w:t>
      </w:r>
    </w:p>
    <w:p>
      <w:pPr>
        <w:pStyle w:val="zheadingx-e"/>
        <w:spacing w:lineRule="auto" w:line="276"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r>
        <w:br w:type="page"/>
      </w:r>
    </w:p>
    <w:p>
      <w:pPr>
        <w:pStyle w:val="zheadingx-e"/>
        <w:spacing w:lineRule="auto" w:line="480" w:before="0" w:after="0"/>
        <w:jc w:val="center"/>
        <w:rPr>
          <w:rFonts w:ascii="Times New Roman" w:hAnsi="Times New Roman"/>
          <w:b/>
          <w:bCs/>
          <w:i w:val="false"/>
          <w:i w:val="false"/>
          <w:iCs w:val="false"/>
          <w:caps w:val="false"/>
          <w:smallCaps w:val="false"/>
          <w:sz w:val="24"/>
        </w:rPr>
      </w:pPr>
      <w:r>
        <w:rPr>
          <w:rFonts w:ascii="Times New Roman" w:hAnsi="Times New Roman"/>
          <w:b/>
          <w:bCs/>
          <w:i w:val="false"/>
          <w:iCs w:val="false"/>
          <w:caps w:val="false"/>
          <w:smallCaps w:val="false"/>
          <w:sz w:val="24"/>
        </w:rPr>
        <w:t>BRIEF</w:t>
      </w:r>
    </w:p>
    <w:p>
      <w:pPr>
        <w:pStyle w:val="zheadingx-e"/>
        <w:spacing w:lineRule="auto" w:line="480" w:before="0" w:after="0"/>
        <w:jc w:val="center"/>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The expert’s duties and responsibilities</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These opinions must be provided in accordance with the </w:t>
      </w:r>
      <w:r>
        <w:rPr>
          <w:rFonts w:ascii="Times New Roman" w:hAnsi="Times New Roman"/>
          <w:i/>
          <w:iCs/>
          <w:caps w:val="false"/>
          <w:smallCaps w:val="false"/>
          <w:sz w:val="24"/>
        </w:rPr>
        <w:t>Rules of Civil Procedure</w:t>
      </w:r>
      <w:r>
        <w:rPr>
          <w:rFonts w:ascii="Times New Roman" w:hAnsi="Times New Roman"/>
          <w:i w:val="false"/>
          <w:iCs w:val="false"/>
          <w:caps w:val="false"/>
          <w:smallCaps w:val="false"/>
          <w:sz w:val="24"/>
        </w:rPr>
        <w:t>, which stipulate that</w:t>
      </w:r>
    </w:p>
    <w:p>
      <w:pPr>
        <w:pStyle w:val="zheadingx-e"/>
        <w:spacing w:lineRule="auto" w:line="480" w:before="0" w:after="0"/>
        <w:ind w:hanging="0" w:left="144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It is the duty of every expert engaged by or on behalf of a party to provide evidence in relation to a proceeding under these rules,</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 to provide opinion evidence that is fair, objective and non-partisan;</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(b) to provide opinion evidence that is related only to matters that are within the expert’s area of expertise; and</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(c) to provide such additional assistance as the court may reasonably require to determine a matter in issue.</w:t>
      </w:r>
      <w:r>
        <w:rPr>
          <w:rStyle w:val="FootnoteReference"/>
          <w:rFonts w:ascii="Times New Roman" w:hAnsi="Times New Roman"/>
          <w:i w:val="false"/>
          <w:iCs w:val="false"/>
          <w:caps w:val="false"/>
          <w:smallCaps w:val="false"/>
          <w:sz w:val="24"/>
        </w:rPr>
        <w:footnoteReference w:id="2"/>
      </w:r>
    </w:p>
    <w:p>
      <w:pPr>
        <w:pStyle w:val="zheadingx-e"/>
        <w:widowControl/>
        <w:suppressAutoHyphens w:val="true"/>
        <w:bidi w:val="0"/>
        <w:spacing w:lineRule="auto" w:line="480" w:before="0" w:after="0"/>
        <w:ind w:hanging="0" w:left="340" w:right="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expert’s duty is to the court or tribunal, and any obligations owed to the court or tribunal trump the obligations owed to the party that requested the expert’s report.</w:t>
      </w:r>
      <w:r>
        <w:rPr>
          <w:rStyle w:val="FootnoteReference"/>
          <w:rFonts w:ascii="Times New Roman" w:hAnsi="Times New Roman"/>
          <w:i w:val="false"/>
          <w:iCs w:val="false"/>
          <w:caps w:val="false"/>
          <w:smallCaps w:val="false"/>
          <w:sz w:val="24"/>
        </w:rPr>
        <w:footnoteReference w:id="3"/>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The duties and responsibilities of an expert called to assist the Court in the course of a civil proceeding were set out by the Court of Queen’s Bench in </w:t>
      </w:r>
      <w:r>
        <w:rPr>
          <w:rFonts w:ascii="Times New Roman" w:hAnsi="Times New Roman"/>
          <w:i/>
          <w:iCs/>
          <w:caps w:val="false"/>
          <w:smallCaps w:val="false"/>
          <w:sz w:val="24"/>
        </w:rPr>
        <w:t>National Justice Cia Naviera SA v. Prudential Assurance Co. Ltd</w:t>
      </w:r>
      <w:r>
        <w:rPr>
          <w:rFonts w:ascii="Times New Roman" w:hAnsi="Times New Roman"/>
          <w:i w:val="false"/>
          <w:iCs w:val="false"/>
          <w:caps w:val="false"/>
          <w:smallCaps w:val="false"/>
          <w:sz w:val="24"/>
        </w:rPr>
        <w:t>. Justice Cresswell enumerated these duties:</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expert evidence presented to the Court should be and should be seen to be the independent product of the expert uninfluenced as to form or content by the exigencies of litigation;</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provide independent assistance to the Court by way of objective unbiased opinion in relation to matters within his expertise;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in the High Court should never assume the role of advocate;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state the facts or assumptions on which his opinion is based. He should not omit to consider material facts which detract from his concluded opinion;</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make it clear when a particular question or issue falls outside his expertise;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if an expert's opinion is not properly researched because he considers that insufficient data is available then this must be stated with an indication that the opinion is no more than a provisional one;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if after exchange of reports, an expert witness changes his view on a material matter, such change of view should be communicated to the other side without delay and, when appropriate, to the Court;</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where expert evidence refers to photographs, plans, calculations, survey reports, or other similar documents, there must be provided to the opposite party at the same time as the exchange of reports.</w:t>
      </w:r>
      <w:r>
        <w:rPr>
          <w:rStyle w:val="FootnoteReference"/>
          <w:i w:val="false"/>
          <w:iCs w:val="false"/>
          <w:caps w:val="false"/>
          <w:smallCaps w:val="false"/>
          <w:sz w:val="24"/>
        </w:rPr>
        <w:footnoteReference w:id="4"/>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report provided by an expert witness must, at a minimum, clearly include the following information:</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expert’s name, address and area of expertise;</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expert’s qualifications and employment and educational experiences in his or her area of expertise;</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instructions provided to the expert in relation to the proceeding;</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nature of the opinion being sought and each issue in the proceeding to which the opinion relates;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szCs w:val="24"/>
        </w:rPr>
      </w:pPr>
      <w:r>
        <w:rPr>
          <w:rFonts w:ascii="Times New Roman" w:hAnsi="Times New Roman"/>
          <w:i w:val="false"/>
          <w:iCs w:val="false"/>
          <w:caps w:val="false"/>
          <w:smallCaps w:val="false"/>
          <w:sz w:val="24"/>
          <w:szCs w:val="24"/>
        </w:rPr>
        <w:t>the expert’s opinion respecting each issue and, where there is a range of opinions given, a summary of the range and the reasons for the expert’s own opinion within that range;</w:t>
      </w:r>
    </w:p>
    <w:p>
      <w:pPr>
        <w:pStyle w:val="zheadingx-e"/>
        <w:numPr>
          <w:ilvl w:val="1"/>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the expert’s reasons for his or her opinion, including,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a description of the factual assumptions on which the opinion is based;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a description of any research conducted by the expert that led him or her to form the opinion; and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a list of every document, if any, relied on by the expert in forming the opinion.</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szCs w:val="24"/>
        </w:rPr>
        <w:t>a statement signed by the expert certifying that the expert is satisfied as to the authenticity of every authority or other document or record referred to in the report, other than,</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szCs w:val="24"/>
        </w:rPr>
        <w:t>a document or re</w:t>
      </w:r>
      <w:r>
        <w:rPr>
          <w:rFonts w:ascii="Times New Roman" w:hAnsi="Times New Roman"/>
          <w:i w:val="false"/>
          <w:iCs w:val="false"/>
          <w:caps w:val="false"/>
          <w:smallCaps w:val="false"/>
          <w:sz w:val="24"/>
        </w:rPr>
        <w:t xml:space="preserve">cord consisting of evidence or potential evidence in the action that the expert analysed or interpreted in the report, if the document or record was provided to the expert by or on behalf of the party intending to call the expert as a witness; </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an authority or other document or record cited by the expert in the report only because it was referenced in a report prepared by another expert witness in the action and the expert is commenting on the reference; and </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authority or other document or record referred to in the report the authenticity of which the expert doubts.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details of the doubts the expert has respecting the authenticity of an authority, document or record described in 7.iii and of any doubts the expert may have respecting the authenticity of an authority, document or record described in item 7.i or 7.ii; and</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acknowledgement of expert’s duty signed by the expert.</w:t>
      </w:r>
      <w:r>
        <w:rPr>
          <w:rStyle w:val="FootnoteReference"/>
          <w:rFonts w:ascii="Times New Roman" w:hAnsi="Times New Roman"/>
          <w:i w:val="false"/>
          <w:iCs w:val="false"/>
          <w:caps w:val="false"/>
          <w:smallCaps w:val="false"/>
          <w:sz w:val="24"/>
        </w:rPr>
        <w:footnoteReference w:id="5"/>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Expert witnesses who participate in civil litigation may meet with and discuss the contents of their reports and opinions with legal counsel. They may not be influenced by a party’s counsel. Counsel is barred from attempting to influence an expert’s opinion.</w:t>
      </w:r>
      <w:r>
        <w:rPr>
          <w:rStyle w:val="FootnoteReference"/>
          <w:rFonts w:ascii="Times New Roman" w:hAnsi="Times New Roman"/>
          <w:i w:val="false"/>
          <w:iCs w:val="false"/>
          <w:caps w:val="false"/>
          <w:smallCaps w:val="false"/>
          <w:sz w:val="24"/>
        </w:rPr>
        <w:footnoteReference w:id="6"/>
      </w:r>
      <w:r>
        <w:rPr>
          <w:rFonts w:ascii="Times New Roman" w:hAnsi="Times New Roman"/>
          <w:i w:val="false"/>
          <w:iCs w:val="false"/>
          <w:caps w:val="false"/>
          <w:smallCaps w:val="false"/>
          <w:sz w:val="24"/>
        </w:rPr>
        <w:t xml:space="preserve"> Experts should strenuously and openly resist any attempts by counsel to influence their opinion. </w:t>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Pleadings and facts</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Questions of fact referred to expert</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questions for which an expert’s opinion is required are as follows: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
    </w:p>
    <w:p>
      <w:pPr>
        <w:pStyle w:val="zheadingx-e"/>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spacing w:lineRule="auto" w:line="480" w:before="0" w:after="0"/>
        <w:jc w:val="left"/>
        <w:rPr>
          <w:rFonts w:ascii="Times New Roman" w:hAnsi="Times New Roman"/>
          <w:i w:val="false"/>
          <w:i w:val="false"/>
          <w:iCs w:val="false"/>
          <w:caps w:val="false"/>
          <w:smallCaps w:val="false"/>
          <w:sz w:val="24"/>
        </w:rPr>
      </w:pPr>
      <w:r>
        <w:rPr/>
      </w:r>
    </w:p>
    <w:sectPr>
      <w:footnotePr>
        <w:numFmt w:val="decimal"/>
      </w:footnotePr>
      <w:type w:val="nextPage"/>
      <w:pgSz w:w="12240" w:h="15840"/>
      <w:pgMar w:left="1195" w:right="965" w:gutter="0" w:header="0" w:top="900" w:footer="0" w:bottom="11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w:altName w:val="Times New Roman"/>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i/>
          <w:iCs/>
        </w:rPr>
        <w:tab/>
        <w:t>Rules of Civil Procedure</w:t>
      </w:r>
      <w:r>
        <w:rPr>
          <w:i w:val="false"/>
          <w:iCs w:val="false"/>
        </w:rPr>
        <w:t>, RRO 1990, reg. 194, r. 4.1.01(1).</w:t>
      </w:r>
    </w:p>
  </w:footnote>
  <w:footnote w:id="3">
    <w:p>
      <w:pPr>
        <w:pStyle w:val="FootnoteText"/>
        <w:rPr/>
      </w:pPr>
      <w:r>
        <w:rPr>
          <w:rStyle w:val="FootnoteCharacters"/>
        </w:rPr>
        <w:footnoteRef/>
      </w:r>
      <w:r>
        <w:rPr>
          <w:i/>
          <w:iCs/>
        </w:rPr>
        <w:tab/>
        <w:t>Idem</w:t>
      </w:r>
      <w:r>
        <w:rPr>
          <w:i w:val="false"/>
          <w:iCs w:val="false"/>
        </w:rPr>
        <w:t xml:space="preserve">, r. 4.1.01(2). </w:t>
      </w:r>
    </w:p>
  </w:footnote>
  <w:footnote w:id="4">
    <w:p>
      <w:pPr>
        <w:pStyle w:val="FootnoteText"/>
        <w:rPr/>
      </w:pPr>
      <w:r>
        <w:rPr>
          <w:rStyle w:val="FootnoteCharacters"/>
        </w:rPr>
        <w:footnoteRef/>
      </w:r>
      <w:r>
        <w:rPr>
          <w:i/>
          <w:iCs/>
        </w:rPr>
        <w:tab/>
        <w:t>National Justice Cia Naviera SA v. Prudential Assurance Co. Ltd</w:t>
      </w:r>
      <w:r>
        <w:rPr/>
        <w:t xml:space="preserve">, 2 Lloyd’s Rep 68 (Eng. QB 1993), p. 81, col. 2. This United Kingdom case has been cited with approval in Ontario: </w:t>
      </w:r>
      <w:r>
        <w:rPr>
          <w:i/>
          <w:iCs/>
        </w:rPr>
        <w:t>Moore v. Getahun</w:t>
      </w:r>
      <w:r>
        <w:rPr/>
        <w:t xml:space="preserve">, 2015 ONCA 55, </w:t>
      </w:r>
      <w:r>
        <w:fldChar w:fldCharType="begin"/>
      </w:r>
      <w:r>
        <w:rPr>
          <w:rStyle w:val="Hyperlink"/>
        </w:rPr>
        <w:instrText xml:space="preserve"> HYPERLINK "https://canlii.ca/t/gg3lt" \l "par52"</w:instrText>
      </w:r>
      <w:r>
        <w:rPr>
          <w:rStyle w:val="Hyperlink"/>
        </w:rPr>
        <w:fldChar w:fldCharType="separate"/>
      </w:r>
      <w:r>
        <w:rPr>
          <w:rStyle w:val="Hyperlink"/>
        </w:rPr>
        <w:t>para. 52</w:t>
      </w:r>
      <w:r>
        <w:rPr>
          <w:rStyle w:val="Hyperlink"/>
        </w:rPr>
        <w:fldChar w:fldCharType="end"/>
      </w:r>
      <w:r>
        <w:rPr/>
        <w:t>.</w:t>
      </w:r>
    </w:p>
  </w:footnote>
  <w:footnote w:id="5">
    <w:p>
      <w:pPr>
        <w:pStyle w:val="FootnoteText"/>
        <w:rPr/>
      </w:pPr>
      <w:r>
        <w:rPr>
          <w:rStyle w:val="FootnoteCharacters"/>
        </w:rPr>
        <w:footnoteRef/>
      </w:r>
      <w:r>
        <w:rPr>
          <w:i/>
          <w:iCs/>
        </w:rPr>
        <w:tab/>
        <w:t>Rules of Civil Procedure</w:t>
      </w:r>
      <w:r>
        <w:rPr>
          <w:i w:val="false"/>
          <w:iCs w:val="false"/>
        </w:rPr>
        <w:t>, RRO 1990, reg. 194, r. 53.03(2.1).</w:t>
      </w:r>
    </w:p>
  </w:footnote>
  <w:footnote w:id="6">
    <w:p>
      <w:pPr>
        <w:pStyle w:val="FootnoteText"/>
        <w:rPr/>
      </w:pPr>
      <w:r>
        <w:rPr>
          <w:rStyle w:val="FootnoteCharacters"/>
        </w:rPr>
        <w:footnoteRef/>
      </w:r>
      <w:r>
        <w:rPr>
          <w:i/>
          <w:iCs/>
        </w:rPr>
        <w:tab/>
        <w:t>Moore v. Getahun</w:t>
      </w:r>
      <w:r>
        <w:rPr/>
        <w:t>, 2015 ONCA 55, paras. 52-68.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FootnoteText">
    <w:name w:val="footnote text"/>
    <w:basedOn w:val="Normal"/>
    <w:pPr>
      <w:suppressLineNumbers/>
      <w:ind w:hanging="340" w:left="340"/>
    </w:pPr>
    <w:rPr>
      <w:sz w:val="20"/>
      <w:szCs w:val="20"/>
    </w:rPr>
  </w:style>
  <w:style w:type="paragraph" w:styleId="Comment">
    <w:name w:val="Comment"/>
    <w:basedOn w:val="Normal"/>
    <w:qFormat/>
    <w:pPr>
      <w:spacing w:before="56" w:after="0"/>
      <w:ind w:left="56" w:right="56"/>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apstrom.ca" TargetMode="External"/><Relationship Id="rId3" Type="http://schemas.openxmlformats.org/officeDocument/2006/relationships/hyperlink" Target="mailto:karifa@apstrom.ca"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1762</TotalTime>
  <Application>LibreOffice/24.8.5.2$Windows_X86_64 LibreOffice_project/fddf2685c70b461e7832239a0162a77216259f22</Application>
  <AppVersion>15.0000</AppVersion>
  <Pages>5</Pages>
  <Words>962</Words>
  <Characters>4704</Characters>
  <CharactersWithSpaces>5667</CharactersWithSpaces>
  <Paragraphs>65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Adam Strombergsson-DeNora</cp:lastModifiedBy>
  <dcterms:modified xsi:type="dcterms:W3CDTF">2025-03-11T15:50:57Z</dcterms:modified>
  <cp:revision>119</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